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5A974" w14:textId="77777777" w:rsidR="00303C82" w:rsidRPr="009A079B" w:rsidRDefault="00303C82" w:rsidP="00303C82">
      <w:pPr>
        <w:pStyle w:val="Normal1"/>
        <w:keepNext/>
        <w:keepLines/>
        <w:tabs>
          <w:tab w:val="left" w:pos="8640"/>
        </w:tabs>
        <w:spacing w:after="40"/>
        <w:jc w:val="center"/>
        <w:rPr>
          <w:rFonts w:ascii="Century Schoolbook" w:hAnsi="Century Schoolbook" w:cs="Times New Roman"/>
          <w:color w:val="auto"/>
          <w:sz w:val="22"/>
          <w:szCs w:val="22"/>
        </w:rPr>
      </w:pPr>
      <w:r w:rsidRPr="009A079B">
        <w:rPr>
          <w:rFonts w:ascii="Century Schoolbook" w:eastAsia="Cambria" w:hAnsi="Century Schoolbook" w:cs="Times New Roman"/>
          <w:b/>
          <w:smallCaps/>
          <w:color w:val="auto"/>
          <w:sz w:val="22"/>
          <w:szCs w:val="22"/>
        </w:rPr>
        <w:t>Samuel T. Brandao</w:t>
      </w:r>
    </w:p>
    <w:p w14:paraId="5352979D" w14:textId="6DFF860E" w:rsidR="00303C82" w:rsidRPr="009A079B" w:rsidRDefault="00CA6F63" w:rsidP="00303C82">
      <w:pPr>
        <w:pStyle w:val="Normal1"/>
        <w:ind w:left="288"/>
        <w:jc w:val="center"/>
        <w:rPr>
          <w:rFonts w:ascii="Century Schoolbook" w:hAnsi="Century Schoolbook" w:cs="Times New Roman"/>
          <w:color w:val="auto"/>
          <w:sz w:val="22"/>
          <w:szCs w:val="22"/>
        </w:rPr>
      </w:pPr>
      <w:r>
        <w:rPr>
          <w:rFonts w:ascii="Century Schoolbook" w:hAnsi="Century Schoolbook" w:cs="Times New Roman"/>
          <w:color w:val="auto"/>
          <w:sz w:val="22"/>
          <w:szCs w:val="22"/>
        </w:rPr>
        <w:t>6329 Freret Street, Suite 130-S</w:t>
      </w:r>
      <w:r w:rsidR="00303C82" w:rsidRPr="009A079B">
        <w:rPr>
          <w:rFonts w:ascii="Century Schoolbook" w:hAnsi="Century Schoolbook" w:cs="Times New Roman"/>
          <w:color w:val="auto"/>
          <w:sz w:val="22"/>
          <w:szCs w:val="22"/>
        </w:rPr>
        <w:t xml:space="preserve"> | (504) </w:t>
      </w:r>
      <w:r>
        <w:rPr>
          <w:rFonts w:ascii="Century Schoolbook" w:hAnsi="Century Schoolbook" w:cs="Times New Roman"/>
          <w:color w:val="auto"/>
          <w:sz w:val="22"/>
          <w:szCs w:val="22"/>
        </w:rPr>
        <w:t>865-5987</w:t>
      </w:r>
      <w:r w:rsidR="00303C82" w:rsidRPr="009A079B">
        <w:rPr>
          <w:rFonts w:ascii="Century Schoolbook" w:hAnsi="Century Schoolbook" w:cs="Times New Roman"/>
          <w:color w:val="auto"/>
          <w:sz w:val="22"/>
          <w:szCs w:val="22"/>
        </w:rPr>
        <w:t xml:space="preserve"> | </w:t>
      </w:r>
      <w:hyperlink r:id="rId7" w:history="1">
        <w:r w:rsidR="00303C82" w:rsidRPr="009A079B">
          <w:rPr>
            <w:rStyle w:val="Hyperlink"/>
            <w:rFonts w:ascii="Century Schoolbook" w:hAnsi="Century Schoolbook" w:cs="Times New Roman"/>
            <w:sz w:val="22"/>
            <w:szCs w:val="22"/>
          </w:rPr>
          <w:t>sbrandao@tulane.edu</w:t>
        </w:r>
      </w:hyperlink>
    </w:p>
    <w:p w14:paraId="228F3F06" w14:textId="77777777" w:rsidR="00303C82" w:rsidRPr="009A079B" w:rsidRDefault="00303C82" w:rsidP="00303C82">
      <w:pPr>
        <w:pStyle w:val="Normal1"/>
        <w:spacing w:after="400"/>
        <w:ind w:left="288"/>
        <w:jc w:val="center"/>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Louisiana Bar Roll Number 34456</w:t>
      </w:r>
    </w:p>
    <w:p w14:paraId="2497EB34" w14:textId="7DFEFF34" w:rsidR="00C247AC" w:rsidRPr="009A079B" w:rsidRDefault="00C247AC" w:rsidP="00C247AC">
      <w:pPr>
        <w:pStyle w:val="Normal1"/>
        <w:spacing w:before="240" w:after="40"/>
        <w:rPr>
          <w:rFonts w:ascii="Century Schoolbook" w:hAnsi="Century Schoolbook" w:cs="Times New Roman"/>
          <w:smallCaps/>
          <w:color w:val="auto"/>
          <w:sz w:val="22"/>
          <w:szCs w:val="22"/>
        </w:rPr>
      </w:pPr>
      <w:r w:rsidRPr="009A079B">
        <w:rPr>
          <w:rFonts w:ascii="Century Schoolbook" w:hAnsi="Century Schoolbook" w:cs="Times New Roman"/>
          <w:smallCaps/>
          <w:color w:val="auto"/>
          <w:sz w:val="22"/>
          <w:szCs w:val="22"/>
        </w:rPr>
        <w:t>EXPERIENCE</w:t>
      </w:r>
    </w:p>
    <w:p w14:paraId="549E0067" w14:textId="77777777" w:rsidR="00C60234" w:rsidRDefault="00C247AC" w:rsidP="00C247AC">
      <w:pPr>
        <w:pStyle w:val="Normal1"/>
        <w:ind w:left="288"/>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Tulane Civil Rights and Federal Practice Clinic</w:t>
      </w:r>
    </w:p>
    <w:p w14:paraId="6C38D73D" w14:textId="327EFBB0" w:rsidR="00C60234" w:rsidRPr="00C60234" w:rsidRDefault="00CA6F63" w:rsidP="00C60234">
      <w:pPr>
        <w:pStyle w:val="Normal1"/>
        <w:ind w:left="288"/>
        <w:rPr>
          <w:rFonts w:ascii="Century Schoolbook" w:hAnsi="Century Schoolbook" w:cs="Times New Roman"/>
          <w:color w:val="auto"/>
          <w:sz w:val="22"/>
          <w:szCs w:val="22"/>
        </w:rPr>
      </w:pPr>
      <w:r>
        <w:rPr>
          <w:rFonts w:ascii="Century Schoolbook" w:hAnsi="Century Schoolbook" w:cs="Times New Roman"/>
          <w:i/>
          <w:iCs/>
          <w:color w:val="auto"/>
          <w:sz w:val="22"/>
          <w:szCs w:val="22"/>
        </w:rPr>
        <w:t xml:space="preserve">Director and </w:t>
      </w:r>
      <w:r w:rsidR="00C60234">
        <w:rPr>
          <w:rFonts w:ascii="Century Schoolbook" w:hAnsi="Century Schoolbook" w:cs="Times New Roman"/>
          <w:i/>
          <w:iCs/>
          <w:color w:val="auto"/>
          <w:sz w:val="22"/>
          <w:szCs w:val="22"/>
        </w:rPr>
        <w:t>Clinical Associate Professor of Law</w:t>
      </w:r>
      <w:r w:rsidR="00C60234">
        <w:rPr>
          <w:rFonts w:ascii="Century Schoolbook" w:hAnsi="Century Schoolbook" w:cs="Times New Roman"/>
          <w:color w:val="auto"/>
          <w:sz w:val="22"/>
          <w:szCs w:val="22"/>
        </w:rPr>
        <w:t xml:space="preserve"> (’24 – present)</w:t>
      </w:r>
    </w:p>
    <w:p w14:paraId="6B097D3B" w14:textId="77777777" w:rsidR="00C60234" w:rsidRDefault="00C247AC" w:rsidP="00C60234">
      <w:pPr>
        <w:pStyle w:val="Normal1"/>
        <w:ind w:left="288"/>
        <w:rPr>
          <w:rFonts w:ascii="Century Schoolbook" w:hAnsi="Century Schoolbook" w:cs="Times New Roman"/>
          <w:i/>
          <w:iCs/>
          <w:color w:val="auto"/>
          <w:sz w:val="22"/>
          <w:szCs w:val="22"/>
        </w:rPr>
      </w:pPr>
      <w:r w:rsidRPr="009A079B">
        <w:rPr>
          <w:rFonts w:ascii="Century Schoolbook" w:hAnsi="Century Schoolbook" w:cs="Times New Roman"/>
          <w:i/>
          <w:color w:val="auto"/>
          <w:sz w:val="22"/>
          <w:szCs w:val="22"/>
        </w:rPr>
        <w:t xml:space="preserve">Clinical </w:t>
      </w:r>
      <w:r w:rsidR="00023A6E" w:rsidRPr="009A079B">
        <w:rPr>
          <w:rFonts w:ascii="Century Schoolbook" w:hAnsi="Century Schoolbook" w:cs="Times New Roman"/>
          <w:i/>
          <w:color w:val="auto"/>
          <w:sz w:val="22"/>
          <w:szCs w:val="22"/>
        </w:rPr>
        <w:t>Assistant Professor of Law</w:t>
      </w:r>
      <w:r w:rsidR="00C60234">
        <w:rPr>
          <w:rFonts w:ascii="Century Schoolbook" w:hAnsi="Century Schoolbook" w:cs="Times New Roman"/>
          <w:i/>
          <w:color w:val="auto"/>
          <w:sz w:val="22"/>
          <w:szCs w:val="22"/>
        </w:rPr>
        <w:t xml:space="preserve"> </w:t>
      </w:r>
      <w:r w:rsidR="00C60234" w:rsidRPr="00C60234">
        <w:rPr>
          <w:rFonts w:ascii="Century Schoolbook" w:hAnsi="Century Schoolbook" w:cs="Times New Roman"/>
          <w:iCs/>
          <w:color w:val="auto"/>
          <w:sz w:val="22"/>
          <w:szCs w:val="22"/>
        </w:rPr>
        <w:t>(’21</w:t>
      </w:r>
      <w:r w:rsidR="00C60234">
        <w:rPr>
          <w:rFonts w:ascii="Century Schoolbook" w:hAnsi="Century Schoolbook" w:cs="Times New Roman"/>
          <w:iCs/>
          <w:color w:val="auto"/>
          <w:sz w:val="22"/>
          <w:szCs w:val="22"/>
        </w:rPr>
        <w:t xml:space="preserve"> – </w:t>
      </w:r>
      <w:r w:rsidR="00C60234" w:rsidRPr="00C60234">
        <w:rPr>
          <w:rFonts w:ascii="Century Schoolbook" w:hAnsi="Century Schoolbook" w:cs="Times New Roman"/>
          <w:iCs/>
          <w:color w:val="auto"/>
          <w:sz w:val="22"/>
          <w:szCs w:val="22"/>
        </w:rPr>
        <w:t>’23)</w:t>
      </w:r>
    </w:p>
    <w:p w14:paraId="39935C72" w14:textId="6D4B420C" w:rsidR="00C247AC" w:rsidRPr="00C60234" w:rsidRDefault="00303C82" w:rsidP="00C60234">
      <w:pPr>
        <w:pStyle w:val="Normal1"/>
        <w:ind w:left="288"/>
        <w:rPr>
          <w:rFonts w:ascii="Century Schoolbook" w:hAnsi="Century Schoolbook" w:cs="Times New Roman"/>
          <w:i/>
          <w:iCs/>
          <w:color w:val="auto"/>
          <w:sz w:val="22"/>
          <w:szCs w:val="22"/>
        </w:rPr>
      </w:pPr>
      <w:r w:rsidRPr="009A079B">
        <w:rPr>
          <w:rFonts w:ascii="Century Schoolbook" w:hAnsi="Century Schoolbook" w:cs="Times New Roman"/>
          <w:i/>
          <w:iCs/>
          <w:color w:val="auto"/>
          <w:sz w:val="22"/>
          <w:szCs w:val="22"/>
        </w:rPr>
        <w:t>Clinic Instructor</w:t>
      </w:r>
      <w:r w:rsidRPr="009A079B">
        <w:rPr>
          <w:rFonts w:ascii="Century Schoolbook" w:hAnsi="Century Schoolbook" w:cs="Times New Roman"/>
          <w:color w:val="auto"/>
          <w:sz w:val="22"/>
          <w:szCs w:val="22"/>
        </w:rPr>
        <w:t xml:space="preserve"> (</w:t>
      </w:r>
      <w:r w:rsidR="00C60234">
        <w:rPr>
          <w:rFonts w:ascii="Century Schoolbook" w:hAnsi="Century Schoolbook" w:cs="Times New Roman"/>
          <w:color w:val="auto"/>
          <w:sz w:val="22"/>
          <w:szCs w:val="22"/>
        </w:rPr>
        <w:t>’</w:t>
      </w:r>
      <w:r w:rsidRPr="009A079B">
        <w:rPr>
          <w:rFonts w:ascii="Century Schoolbook" w:hAnsi="Century Schoolbook" w:cs="Times New Roman"/>
          <w:color w:val="auto"/>
          <w:sz w:val="22"/>
          <w:szCs w:val="22"/>
        </w:rPr>
        <w:t>16</w:t>
      </w:r>
      <w:r w:rsidR="00C60234">
        <w:rPr>
          <w:rFonts w:ascii="Century Schoolbook" w:hAnsi="Century Schoolbook" w:cs="Times New Roman"/>
          <w:color w:val="auto"/>
          <w:sz w:val="22"/>
          <w:szCs w:val="22"/>
        </w:rPr>
        <w:t xml:space="preserve"> – ‘</w:t>
      </w:r>
      <w:r w:rsidRPr="009A079B">
        <w:rPr>
          <w:rFonts w:ascii="Century Schoolbook" w:hAnsi="Century Schoolbook" w:cs="Times New Roman"/>
          <w:color w:val="auto"/>
          <w:sz w:val="22"/>
          <w:szCs w:val="22"/>
        </w:rPr>
        <w:t>21)</w:t>
      </w:r>
    </w:p>
    <w:p w14:paraId="648E3115" w14:textId="7D242B0B" w:rsidR="00303C82" w:rsidRPr="009A079B" w:rsidRDefault="00303C82" w:rsidP="00303C82">
      <w:pPr>
        <w:pStyle w:val="Normal1"/>
        <w:numPr>
          <w:ilvl w:val="0"/>
          <w:numId w:val="1"/>
        </w:numPr>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The Clinic represents indigent people pursuing civil rights claims in federal court. We define civil rights broadly but focus on police</w:t>
      </w:r>
      <w:r w:rsidR="007A5007">
        <w:rPr>
          <w:rFonts w:ascii="Century Schoolbook" w:hAnsi="Century Schoolbook" w:cs="Times New Roman"/>
          <w:color w:val="auto"/>
          <w:sz w:val="22"/>
          <w:szCs w:val="22"/>
        </w:rPr>
        <w:t xml:space="preserve"> and other official</w:t>
      </w:r>
      <w:r w:rsidRPr="009A079B">
        <w:rPr>
          <w:rFonts w:ascii="Century Schoolbook" w:hAnsi="Century Schoolbook" w:cs="Times New Roman"/>
          <w:color w:val="auto"/>
          <w:sz w:val="22"/>
          <w:szCs w:val="22"/>
        </w:rPr>
        <w:t xml:space="preserve"> misconduct, prison conditions, fair housing, and employment discrimination cases.</w:t>
      </w:r>
    </w:p>
    <w:p w14:paraId="3DFDDBE7" w14:textId="3BD26CA2" w:rsidR="00303C82" w:rsidRPr="009A079B" w:rsidRDefault="00303C82" w:rsidP="00303C82">
      <w:pPr>
        <w:pStyle w:val="Normal1"/>
        <w:numPr>
          <w:ilvl w:val="0"/>
          <w:numId w:val="1"/>
        </w:numPr>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 xml:space="preserve">As one of two faculty supervisors, </w:t>
      </w:r>
      <w:r w:rsidR="00FE15B4">
        <w:rPr>
          <w:rFonts w:ascii="Century Schoolbook" w:hAnsi="Century Schoolbook" w:cs="Times New Roman"/>
          <w:color w:val="auto"/>
          <w:sz w:val="22"/>
          <w:szCs w:val="22"/>
        </w:rPr>
        <w:t xml:space="preserve">each year </w:t>
      </w:r>
      <w:r w:rsidRPr="009A079B">
        <w:rPr>
          <w:rFonts w:ascii="Century Schoolbook" w:hAnsi="Century Schoolbook" w:cs="Times New Roman"/>
          <w:color w:val="auto"/>
          <w:sz w:val="22"/>
          <w:szCs w:val="22"/>
        </w:rPr>
        <w:t xml:space="preserve">I help </w:t>
      </w:r>
      <w:r w:rsidR="00FE15B4">
        <w:rPr>
          <w:rFonts w:ascii="Century Schoolbook" w:hAnsi="Century Schoolbook" w:cs="Times New Roman"/>
          <w:color w:val="auto"/>
          <w:sz w:val="22"/>
          <w:szCs w:val="22"/>
        </w:rPr>
        <w:t xml:space="preserve">nine to </w:t>
      </w:r>
      <w:r w:rsidRPr="009A079B">
        <w:rPr>
          <w:rFonts w:ascii="Century Schoolbook" w:hAnsi="Century Schoolbook" w:cs="Times New Roman"/>
          <w:color w:val="auto"/>
          <w:sz w:val="22"/>
          <w:szCs w:val="22"/>
        </w:rPr>
        <w:t>twelve students perform over 250 hours each of billable work in client matters.</w:t>
      </w:r>
    </w:p>
    <w:p w14:paraId="4EEA0EA0" w14:textId="3E850D04" w:rsidR="00303C82" w:rsidRPr="009A079B" w:rsidRDefault="00303C82" w:rsidP="00303C82">
      <w:pPr>
        <w:pStyle w:val="Normal1"/>
        <w:numPr>
          <w:ilvl w:val="0"/>
          <w:numId w:val="1"/>
        </w:numPr>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 xml:space="preserve">Because our students are first chair in all matters, the faculty supervisors must </w:t>
      </w:r>
      <w:r w:rsidR="00FE15B4">
        <w:rPr>
          <w:rFonts w:ascii="Century Schoolbook" w:hAnsi="Century Schoolbook" w:cs="Times New Roman"/>
          <w:color w:val="auto"/>
          <w:sz w:val="22"/>
          <w:szCs w:val="22"/>
        </w:rPr>
        <w:t xml:space="preserve">support the student attorneys as they learn to engage in case planning and problem solving. We </w:t>
      </w:r>
      <w:r w:rsidRPr="009A079B">
        <w:rPr>
          <w:rFonts w:ascii="Century Schoolbook" w:hAnsi="Century Schoolbook" w:cs="Times New Roman"/>
          <w:color w:val="auto"/>
          <w:sz w:val="22"/>
          <w:szCs w:val="22"/>
        </w:rPr>
        <w:t>provide extensive preparation and feedback for every step in every case, typically reviewing 3-10 drafts of written work product and conducting multiple moots before oral advocacy opportunities.</w:t>
      </w:r>
    </w:p>
    <w:p w14:paraId="043FE493" w14:textId="15051DBA" w:rsidR="00303C82" w:rsidRPr="009A079B" w:rsidRDefault="00303C82" w:rsidP="00303C82">
      <w:pPr>
        <w:pStyle w:val="Normal1"/>
        <w:numPr>
          <w:ilvl w:val="0"/>
          <w:numId w:val="1"/>
        </w:numPr>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Clinic students have had the opportunity and responsibility to: draft pleadings and appellate briefs, interview clients and witnesses, propound and respond to written discovery, draft and argue motions including dispositive motions, conduct and defend over 30 depositions, negotiate settlements, secure parole for four elderly prisoners, present oral argument once to a state appellate court and on three occasions to a federal appellate court, draft and file two petitions for certiorari at the United States Supreme Court, and prepare for two imminent trials.</w:t>
      </w:r>
    </w:p>
    <w:p w14:paraId="223083B7" w14:textId="4F2BB7EB" w:rsidR="00303C82" w:rsidRDefault="00303C82" w:rsidP="00303C82">
      <w:pPr>
        <w:pStyle w:val="Normal1"/>
        <w:numPr>
          <w:ilvl w:val="0"/>
          <w:numId w:val="1"/>
        </w:numPr>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The corequisite seminar covers pretrial litigation skills from the client interview through jury selection.</w:t>
      </w:r>
    </w:p>
    <w:p w14:paraId="64DC6A4D" w14:textId="4701AB9C" w:rsidR="009A079B" w:rsidRPr="009A079B" w:rsidRDefault="009A079B" w:rsidP="009A079B">
      <w:pPr>
        <w:pStyle w:val="Normal1"/>
        <w:ind w:left="648"/>
        <w:rPr>
          <w:rFonts w:ascii="Century Schoolbook" w:hAnsi="Century Schoolbook" w:cs="Times New Roman"/>
          <w:color w:val="auto"/>
          <w:sz w:val="22"/>
          <w:szCs w:val="22"/>
        </w:rPr>
      </w:pPr>
      <w:r>
        <w:rPr>
          <w:rFonts w:ascii="Century Schoolbook" w:hAnsi="Century Schoolbook" w:cs="Times New Roman"/>
          <w:color w:val="auto"/>
          <w:sz w:val="22"/>
          <w:szCs w:val="22"/>
        </w:rPr>
        <w:t>Selected cases:</w:t>
      </w:r>
    </w:p>
    <w:p w14:paraId="5AB5CF91" w14:textId="4110EA31" w:rsidR="009A079B" w:rsidRPr="001A2F62" w:rsidRDefault="009A079B" w:rsidP="00303C82">
      <w:pPr>
        <w:pStyle w:val="Normal1"/>
        <w:numPr>
          <w:ilvl w:val="0"/>
          <w:numId w:val="1"/>
        </w:numPr>
        <w:rPr>
          <w:rFonts w:ascii="Century Schoolbook" w:hAnsi="Century Schoolbook" w:cs="Times New Roman"/>
          <w:i/>
          <w:iCs/>
          <w:color w:val="auto"/>
          <w:sz w:val="22"/>
          <w:szCs w:val="22"/>
        </w:rPr>
      </w:pPr>
      <w:r w:rsidRPr="009A079B">
        <w:rPr>
          <w:rFonts w:ascii="Century Schoolbook" w:hAnsi="Century Schoolbook" w:cs="Times New Roman"/>
          <w:i/>
          <w:iCs/>
          <w:color w:val="auto"/>
          <w:sz w:val="22"/>
          <w:szCs w:val="22"/>
        </w:rPr>
        <w:t>Nanette Blanchard-Daigle v. Shane Geers, et al.</w:t>
      </w:r>
      <w:r>
        <w:rPr>
          <w:rFonts w:ascii="Century Schoolbook" w:hAnsi="Century Schoolbook" w:cs="Times New Roman"/>
          <w:color w:val="auto"/>
          <w:sz w:val="22"/>
          <w:szCs w:val="22"/>
        </w:rPr>
        <w:t xml:space="preserve"> </w:t>
      </w:r>
      <w:r w:rsidR="001A2F62">
        <w:rPr>
          <w:rFonts w:ascii="Century Schoolbook" w:hAnsi="Century Schoolbook" w:cs="Times New Roman"/>
          <w:color w:val="auto"/>
          <w:sz w:val="22"/>
          <w:szCs w:val="22"/>
        </w:rPr>
        <w:t xml:space="preserve">– </w:t>
      </w:r>
      <w:r>
        <w:rPr>
          <w:rFonts w:ascii="Century Schoolbook" w:hAnsi="Century Schoolbook" w:cs="Times New Roman"/>
          <w:color w:val="auto"/>
          <w:sz w:val="22"/>
          <w:szCs w:val="22"/>
        </w:rPr>
        <w:t xml:space="preserve">No. 18-51022 (CA5). The Court appointed the </w:t>
      </w:r>
      <w:r w:rsidR="001A2F62">
        <w:rPr>
          <w:rFonts w:ascii="Century Schoolbook" w:hAnsi="Century Schoolbook" w:cs="Times New Roman"/>
          <w:color w:val="auto"/>
          <w:sz w:val="22"/>
          <w:szCs w:val="22"/>
        </w:rPr>
        <w:t>C</w:t>
      </w:r>
      <w:r>
        <w:rPr>
          <w:rFonts w:ascii="Century Schoolbook" w:hAnsi="Century Schoolbook" w:cs="Times New Roman"/>
          <w:color w:val="auto"/>
          <w:sz w:val="22"/>
          <w:szCs w:val="22"/>
        </w:rPr>
        <w:t xml:space="preserve">linic to represent the estate of Lyle Blanchard, a 58-year-old unarmed Navy veteran shot to death in his driveway during a traffic stop. Student attorneys drafted the principal and </w:t>
      </w:r>
      <w:proofErr w:type="gramStart"/>
      <w:r>
        <w:rPr>
          <w:rFonts w:ascii="Century Schoolbook" w:hAnsi="Century Schoolbook" w:cs="Times New Roman"/>
          <w:color w:val="auto"/>
          <w:sz w:val="22"/>
          <w:szCs w:val="22"/>
        </w:rPr>
        <w:t>reply</w:t>
      </w:r>
      <w:proofErr w:type="gramEnd"/>
      <w:r>
        <w:rPr>
          <w:rFonts w:ascii="Century Schoolbook" w:hAnsi="Century Schoolbook" w:cs="Times New Roman"/>
          <w:color w:val="auto"/>
          <w:sz w:val="22"/>
          <w:szCs w:val="22"/>
        </w:rPr>
        <w:t xml:space="preserve"> briefs and presented oral argument</w:t>
      </w:r>
      <w:r w:rsidR="001A2F62">
        <w:rPr>
          <w:rFonts w:ascii="Century Schoolbook" w:hAnsi="Century Schoolbook" w:cs="Times New Roman"/>
          <w:color w:val="auto"/>
          <w:sz w:val="22"/>
          <w:szCs w:val="22"/>
        </w:rPr>
        <w:t>. Student attorneys also drafted a petition seeking rehearing and another seeking certiorari.</w:t>
      </w:r>
    </w:p>
    <w:p w14:paraId="7F12B05A" w14:textId="18142EED" w:rsidR="001A2F62" w:rsidRPr="00C60234" w:rsidRDefault="001A2F62" w:rsidP="00303C82">
      <w:pPr>
        <w:pStyle w:val="Normal1"/>
        <w:numPr>
          <w:ilvl w:val="0"/>
          <w:numId w:val="1"/>
        </w:numPr>
        <w:rPr>
          <w:rFonts w:ascii="Century Schoolbook" w:hAnsi="Century Schoolbook" w:cs="Times New Roman"/>
          <w:i/>
          <w:iCs/>
          <w:color w:val="auto"/>
          <w:sz w:val="22"/>
          <w:szCs w:val="22"/>
        </w:rPr>
      </w:pPr>
      <w:r>
        <w:rPr>
          <w:rFonts w:ascii="Century Schoolbook" w:hAnsi="Century Schoolbook" w:cs="Times New Roman"/>
          <w:i/>
          <w:iCs/>
          <w:color w:val="auto"/>
          <w:sz w:val="22"/>
          <w:szCs w:val="22"/>
        </w:rPr>
        <w:t>Gregory Tucker v. Shreveport, et al.</w:t>
      </w:r>
      <w:r>
        <w:rPr>
          <w:rFonts w:ascii="Century Schoolbook" w:hAnsi="Century Schoolbook" w:cs="Times New Roman"/>
          <w:color w:val="auto"/>
          <w:sz w:val="22"/>
          <w:szCs w:val="22"/>
        </w:rPr>
        <w:t xml:space="preserve"> – No. 21-569 (SCOTUS); No. 19-30247 (CA5); No. 17-1485 (WDLA). The Fifth Circuit appointed the Clinic to represent Mr. Tucker, an unarmed Black motorist whom four Shreveport police officers beat for over a minute during a traffic stop for a broken taillight. Student attorneys drafted the principal and </w:t>
      </w:r>
      <w:proofErr w:type="gramStart"/>
      <w:r>
        <w:rPr>
          <w:rFonts w:ascii="Century Schoolbook" w:hAnsi="Century Schoolbook" w:cs="Times New Roman"/>
          <w:color w:val="auto"/>
          <w:sz w:val="22"/>
          <w:szCs w:val="22"/>
        </w:rPr>
        <w:t>reply</w:t>
      </w:r>
      <w:proofErr w:type="gramEnd"/>
      <w:r>
        <w:rPr>
          <w:rFonts w:ascii="Century Schoolbook" w:hAnsi="Century Schoolbook" w:cs="Times New Roman"/>
          <w:color w:val="auto"/>
          <w:sz w:val="22"/>
          <w:szCs w:val="22"/>
        </w:rPr>
        <w:t xml:space="preserve"> briefs and presented oral argument. When the Fifth Circuit panel </w:t>
      </w:r>
      <w:hyperlink r:id="rId8" w:history="1">
        <w:r w:rsidRPr="001A2F62">
          <w:rPr>
            <w:rStyle w:val="Hyperlink"/>
            <w:rFonts w:ascii="Century Schoolbook" w:hAnsi="Century Schoolbook" w:cs="Times New Roman"/>
            <w:sz w:val="22"/>
            <w:szCs w:val="22"/>
          </w:rPr>
          <w:t>ruled 2-1</w:t>
        </w:r>
      </w:hyperlink>
      <w:r>
        <w:rPr>
          <w:rFonts w:ascii="Century Schoolbook" w:hAnsi="Century Schoolbook" w:cs="Times New Roman"/>
          <w:color w:val="auto"/>
          <w:sz w:val="22"/>
          <w:szCs w:val="22"/>
        </w:rPr>
        <w:t xml:space="preserve"> against Mr. Tucker, Student attorneys also drafted a petition for rehearing and then one seeking certiorari. Although that petition was </w:t>
      </w:r>
      <w:r>
        <w:rPr>
          <w:rFonts w:ascii="Century Schoolbook" w:hAnsi="Century Schoolbook" w:cs="Times New Roman"/>
          <w:color w:val="auto"/>
          <w:sz w:val="22"/>
          <w:szCs w:val="22"/>
        </w:rPr>
        <w:lastRenderedPageBreak/>
        <w:t xml:space="preserve">denied, Justice Sotomayor </w:t>
      </w:r>
      <w:hyperlink r:id="rId9" w:history="1">
        <w:r w:rsidRPr="001A2F62">
          <w:rPr>
            <w:rStyle w:val="Hyperlink"/>
            <w:rFonts w:ascii="Century Schoolbook" w:hAnsi="Century Schoolbook" w:cs="Times New Roman"/>
            <w:sz w:val="22"/>
            <w:szCs w:val="22"/>
          </w:rPr>
          <w:t>wrote separately</w:t>
        </w:r>
      </w:hyperlink>
      <w:r>
        <w:rPr>
          <w:rFonts w:ascii="Century Schoolbook" w:hAnsi="Century Schoolbook" w:cs="Times New Roman"/>
          <w:color w:val="auto"/>
          <w:sz w:val="22"/>
          <w:szCs w:val="22"/>
        </w:rPr>
        <w:t xml:space="preserve"> “</w:t>
      </w:r>
      <w:r w:rsidRPr="001A2F62">
        <w:rPr>
          <w:rFonts w:ascii="Century Schoolbook" w:hAnsi="Century Schoolbook" w:cs="Times New Roman"/>
          <w:color w:val="auto"/>
          <w:sz w:val="22"/>
          <w:szCs w:val="22"/>
        </w:rPr>
        <w:t>to note that the Fifth Circuit’s reversal of the District Court’s detailed order denying qualified immunity appears highly questionable for the reasons set forth by Judge Higginson’s thorough dissenting opinion.</w:t>
      </w:r>
      <w:r>
        <w:rPr>
          <w:rFonts w:ascii="Century Schoolbook" w:hAnsi="Century Schoolbook" w:cs="Times New Roman"/>
          <w:color w:val="auto"/>
          <w:sz w:val="22"/>
          <w:szCs w:val="22"/>
        </w:rPr>
        <w:t>” The</w:t>
      </w:r>
      <w:r w:rsidR="00F126D4">
        <w:rPr>
          <w:rFonts w:ascii="Century Schoolbook" w:hAnsi="Century Schoolbook" w:cs="Times New Roman"/>
          <w:color w:val="auto"/>
          <w:sz w:val="22"/>
          <w:szCs w:val="22"/>
        </w:rPr>
        <w:t xml:space="preserve"> Clinic represented Mr. Tucker on remand: student attorneys prepared for trial and negotiated a favorable settlement.</w:t>
      </w:r>
    </w:p>
    <w:p w14:paraId="4DACC22D" w14:textId="57B5AF28" w:rsidR="00C60234" w:rsidRPr="001A2F62" w:rsidRDefault="00C60234" w:rsidP="00303C82">
      <w:pPr>
        <w:pStyle w:val="Normal1"/>
        <w:numPr>
          <w:ilvl w:val="0"/>
          <w:numId w:val="1"/>
        </w:numPr>
        <w:rPr>
          <w:rFonts w:ascii="Century Schoolbook" w:hAnsi="Century Schoolbook" w:cs="Times New Roman"/>
          <w:i/>
          <w:iCs/>
          <w:color w:val="auto"/>
          <w:sz w:val="22"/>
          <w:szCs w:val="22"/>
        </w:rPr>
      </w:pPr>
      <w:r>
        <w:rPr>
          <w:rFonts w:ascii="Century Schoolbook" w:hAnsi="Century Schoolbook" w:cs="Times New Roman"/>
          <w:i/>
          <w:iCs/>
          <w:color w:val="auto"/>
          <w:sz w:val="22"/>
          <w:szCs w:val="22"/>
        </w:rPr>
        <w:t>Jonathan Burkle v. Anthony Patrick, et al.</w:t>
      </w:r>
      <w:r w:rsidR="00BA4F35">
        <w:rPr>
          <w:rFonts w:ascii="Century Schoolbook" w:hAnsi="Century Schoolbook" w:cs="Times New Roman"/>
          <w:color w:val="auto"/>
          <w:sz w:val="22"/>
          <w:szCs w:val="22"/>
        </w:rPr>
        <w:t xml:space="preserve"> – No. 20-50221 (CA5); No. 18-141 (WDTX). The Fifth Circuit appointed the clinic to present Mr. Burkle, whom guards locked in a hot, cramped shower cell over a July weekend in Texas without food or water, and who had filed a Section 1983 suit pro se and then briefed his appeal to the Fifth Circuit after the trial court dismissed his claims in a summary judgment citing qualified immunity. Student attorneys filed a supplement principal brief, and I drafted a reply brief. The following year, two student attorneys presented oral argument.</w:t>
      </w:r>
    </w:p>
    <w:p w14:paraId="0D327A65" w14:textId="77777777" w:rsidR="00303C82" w:rsidRPr="009A079B" w:rsidRDefault="00303C82" w:rsidP="00C247AC">
      <w:pPr>
        <w:pStyle w:val="Normal1"/>
        <w:ind w:left="288"/>
        <w:rPr>
          <w:rFonts w:ascii="Century Schoolbook" w:hAnsi="Century Schoolbook" w:cs="Times New Roman"/>
          <w:color w:val="auto"/>
          <w:sz w:val="22"/>
          <w:szCs w:val="22"/>
        </w:rPr>
      </w:pPr>
    </w:p>
    <w:p w14:paraId="5AC06CFE" w14:textId="3FACE1EE" w:rsidR="00FE4608" w:rsidRPr="00FE4608" w:rsidRDefault="00C247AC" w:rsidP="00C247AC">
      <w:pPr>
        <w:pStyle w:val="Normal1"/>
        <w:ind w:left="288" w:hanging="18"/>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ab/>
        <w:t xml:space="preserve">Committee Service: </w:t>
      </w:r>
      <w:r w:rsidRPr="009A079B">
        <w:rPr>
          <w:rFonts w:ascii="Century Schoolbook" w:hAnsi="Century Schoolbook" w:cs="Times New Roman"/>
          <w:color w:val="auto"/>
          <w:sz w:val="22"/>
          <w:szCs w:val="22"/>
        </w:rPr>
        <w:tab/>
      </w:r>
      <w:r w:rsidR="00FE4608">
        <w:rPr>
          <w:rFonts w:ascii="Century Schoolbook" w:hAnsi="Century Schoolbook" w:cs="Times New Roman"/>
          <w:i/>
          <w:iCs/>
          <w:color w:val="auto"/>
          <w:sz w:val="22"/>
          <w:szCs w:val="22"/>
        </w:rPr>
        <w:t>Clinical Hiring</w:t>
      </w:r>
      <w:r w:rsidR="00FE4608">
        <w:rPr>
          <w:rFonts w:ascii="Century Schoolbook" w:hAnsi="Century Schoolbook" w:cs="Times New Roman"/>
          <w:color w:val="auto"/>
          <w:sz w:val="22"/>
          <w:szCs w:val="22"/>
        </w:rPr>
        <w:t xml:space="preserve"> (2024-2025)</w:t>
      </w:r>
    </w:p>
    <w:p w14:paraId="74BCE2D8" w14:textId="2DDB8D17" w:rsidR="00442B07" w:rsidRPr="009A079B" w:rsidRDefault="00442B07" w:rsidP="00FE4608">
      <w:pPr>
        <w:pStyle w:val="Normal1"/>
        <w:ind w:left="2448" w:firstLine="432"/>
        <w:rPr>
          <w:rFonts w:ascii="Century Schoolbook" w:hAnsi="Century Schoolbook" w:cs="Times New Roman"/>
          <w:color w:val="auto"/>
          <w:sz w:val="22"/>
          <w:szCs w:val="22"/>
        </w:rPr>
      </w:pPr>
      <w:r w:rsidRPr="009A079B">
        <w:rPr>
          <w:rFonts w:ascii="Century Schoolbook" w:hAnsi="Century Schoolbook" w:cs="Times New Roman"/>
          <w:i/>
          <w:iCs/>
          <w:color w:val="auto"/>
          <w:sz w:val="22"/>
          <w:szCs w:val="22"/>
        </w:rPr>
        <w:t>Assessments</w:t>
      </w:r>
      <w:r w:rsidRPr="009A079B">
        <w:rPr>
          <w:rFonts w:ascii="Century Schoolbook" w:hAnsi="Century Schoolbook" w:cs="Times New Roman"/>
          <w:color w:val="auto"/>
          <w:sz w:val="22"/>
          <w:szCs w:val="22"/>
        </w:rPr>
        <w:t>, chair (2023</w:t>
      </w:r>
      <w:r w:rsidR="00FE4608">
        <w:rPr>
          <w:rFonts w:ascii="Century Schoolbook" w:hAnsi="Century Schoolbook" w:cs="Times New Roman"/>
          <w:color w:val="auto"/>
          <w:sz w:val="22"/>
          <w:szCs w:val="22"/>
        </w:rPr>
        <w:t>-2024</w:t>
      </w:r>
      <w:r w:rsidRPr="009A079B">
        <w:rPr>
          <w:rFonts w:ascii="Century Schoolbook" w:hAnsi="Century Schoolbook" w:cs="Times New Roman"/>
          <w:color w:val="auto"/>
          <w:sz w:val="22"/>
          <w:szCs w:val="22"/>
        </w:rPr>
        <w:t>)</w:t>
      </w:r>
    </w:p>
    <w:p w14:paraId="4A156C7C" w14:textId="1ED1E14C" w:rsidR="00AF78C8" w:rsidRPr="009A079B" w:rsidRDefault="00AF78C8" w:rsidP="00442B07">
      <w:pPr>
        <w:pStyle w:val="Normal1"/>
        <w:ind w:left="2448" w:firstLine="432"/>
        <w:rPr>
          <w:rFonts w:ascii="Century Schoolbook" w:hAnsi="Century Schoolbook" w:cs="Times New Roman"/>
          <w:color w:val="auto"/>
          <w:sz w:val="22"/>
          <w:szCs w:val="22"/>
        </w:rPr>
      </w:pPr>
      <w:r w:rsidRPr="009A079B">
        <w:rPr>
          <w:rFonts w:ascii="Century Schoolbook" w:hAnsi="Century Schoolbook" w:cs="Times New Roman"/>
          <w:i/>
          <w:iCs/>
          <w:color w:val="auto"/>
          <w:sz w:val="22"/>
          <w:szCs w:val="22"/>
        </w:rPr>
        <w:t>Intellectual Life</w:t>
      </w:r>
      <w:r w:rsidRPr="009A079B">
        <w:rPr>
          <w:rFonts w:ascii="Century Schoolbook" w:hAnsi="Century Schoolbook" w:cs="Times New Roman"/>
          <w:color w:val="auto"/>
          <w:sz w:val="22"/>
          <w:szCs w:val="22"/>
        </w:rPr>
        <w:t xml:space="preserve"> (2022-2023)</w:t>
      </w:r>
    </w:p>
    <w:p w14:paraId="5BA3DD2C" w14:textId="1A5F037C" w:rsidR="002219A7" w:rsidRPr="009A079B" w:rsidRDefault="002219A7" w:rsidP="00AF78C8">
      <w:pPr>
        <w:pStyle w:val="Normal1"/>
        <w:ind w:left="2448" w:firstLine="432"/>
        <w:rPr>
          <w:rFonts w:ascii="Century Schoolbook" w:hAnsi="Century Schoolbook" w:cs="Times New Roman"/>
          <w:color w:val="auto"/>
          <w:sz w:val="22"/>
          <w:szCs w:val="22"/>
        </w:rPr>
      </w:pPr>
      <w:r w:rsidRPr="009A079B">
        <w:rPr>
          <w:rFonts w:ascii="Century Schoolbook" w:hAnsi="Century Schoolbook" w:cs="Times New Roman"/>
          <w:i/>
          <w:iCs/>
          <w:color w:val="auto"/>
          <w:sz w:val="22"/>
          <w:szCs w:val="22"/>
        </w:rPr>
        <w:t>Academic Affairs</w:t>
      </w:r>
      <w:r w:rsidRPr="009A079B">
        <w:rPr>
          <w:rFonts w:ascii="Century Schoolbook" w:hAnsi="Century Schoolbook" w:cs="Times New Roman"/>
          <w:color w:val="auto"/>
          <w:sz w:val="22"/>
          <w:szCs w:val="22"/>
        </w:rPr>
        <w:t xml:space="preserve"> (2021</w:t>
      </w:r>
      <w:r w:rsidR="00AF78C8" w:rsidRPr="009A079B">
        <w:rPr>
          <w:rFonts w:ascii="Century Schoolbook" w:hAnsi="Century Schoolbook" w:cs="Times New Roman"/>
          <w:color w:val="auto"/>
          <w:sz w:val="22"/>
          <w:szCs w:val="22"/>
        </w:rPr>
        <w:t>-2022</w:t>
      </w:r>
      <w:r w:rsidRPr="009A079B">
        <w:rPr>
          <w:rFonts w:ascii="Century Schoolbook" w:hAnsi="Century Schoolbook" w:cs="Times New Roman"/>
          <w:color w:val="auto"/>
          <w:sz w:val="22"/>
          <w:szCs w:val="22"/>
        </w:rPr>
        <w:t>)</w:t>
      </w:r>
    </w:p>
    <w:p w14:paraId="654E4778" w14:textId="3FB69CA3" w:rsidR="00C247AC" w:rsidRPr="009A079B" w:rsidRDefault="00C247AC" w:rsidP="00AF78C8">
      <w:pPr>
        <w:pStyle w:val="Normal1"/>
        <w:ind w:left="2448" w:firstLine="432"/>
        <w:rPr>
          <w:rFonts w:ascii="Century Schoolbook" w:hAnsi="Century Schoolbook" w:cs="Times New Roman"/>
          <w:color w:val="auto"/>
          <w:sz w:val="22"/>
          <w:szCs w:val="22"/>
        </w:rPr>
      </w:pPr>
      <w:r w:rsidRPr="009A079B">
        <w:rPr>
          <w:rFonts w:ascii="Century Schoolbook" w:hAnsi="Century Schoolbook" w:cs="Times New Roman"/>
          <w:i/>
          <w:iCs/>
          <w:color w:val="auto"/>
          <w:sz w:val="22"/>
          <w:szCs w:val="22"/>
        </w:rPr>
        <w:t>Faculty Handbook Revisions</w:t>
      </w:r>
      <w:r w:rsidRPr="009A079B">
        <w:rPr>
          <w:rFonts w:ascii="Century Schoolbook" w:hAnsi="Century Schoolbook" w:cs="Times New Roman"/>
          <w:color w:val="auto"/>
          <w:sz w:val="22"/>
          <w:szCs w:val="22"/>
        </w:rPr>
        <w:t xml:space="preserve"> (2020-</w:t>
      </w:r>
      <w:r w:rsidR="002219A7" w:rsidRPr="009A079B">
        <w:rPr>
          <w:rFonts w:ascii="Century Schoolbook" w:hAnsi="Century Schoolbook" w:cs="Times New Roman"/>
          <w:color w:val="auto"/>
          <w:sz w:val="22"/>
          <w:szCs w:val="22"/>
        </w:rPr>
        <w:t>2021</w:t>
      </w:r>
      <w:r w:rsidRPr="009A079B">
        <w:rPr>
          <w:rFonts w:ascii="Century Schoolbook" w:hAnsi="Century Schoolbook" w:cs="Times New Roman"/>
          <w:color w:val="auto"/>
          <w:sz w:val="22"/>
          <w:szCs w:val="22"/>
        </w:rPr>
        <w:t>)</w:t>
      </w:r>
    </w:p>
    <w:p w14:paraId="0718C06E" w14:textId="77777777" w:rsidR="00C247AC" w:rsidRPr="009A079B" w:rsidRDefault="00C247AC" w:rsidP="00AF78C8">
      <w:pPr>
        <w:pStyle w:val="Normal1"/>
        <w:ind w:left="2448" w:firstLine="432"/>
        <w:rPr>
          <w:rFonts w:ascii="Century Schoolbook" w:hAnsi="Century Schoolbook" w:cs="Times New Roman"/>
          <w:color w:val="auto"/>
          <w:sz w:val="22"/>
          <w:szCs w:val="22"/>
        </w:rPr>
      </w:pPr>
      <w:r w:rsidRPr="009A079B">
        <w:rPr>
          <w:rFonts w:ascii="Century Schoolbook" w:hAnsi="Century Schoolbook" w:cs="Times New Roman"/>
          <w:i/>
          <w:iCs/>
          <w:color w:val="auto"/>
          <w:sz w:val="22"/>
          <w:szCs w:val="22"/>
        </w:rPr>
        <w:t>Assessments</w:t>
      </w:r>
      <w:r w:rsidRPr="009A079B">
        <w:rPr>
          <w:rFonts w:ascii="Century Schoolbook" w:hAnsi="Century Schoolbook" w:cs="Times New Roman"/>
          <w:color w:val="auto"/>
          <w:sz w:val="22"/>
          <w:szCs w:val="22"/>
        </w:rPr>
        <w:t xml:space="preserve"> (2018-2020)</w:t>
      </w:r>
    </w:p>
    <w:p w14:paraId="5B9AFCC6" w14:textId="77777777" w:rsidR="00C247AC" w:rsidRPr="009A079B" w:rsidRDefault="00C247AC" w:rsidP="00AF78C8">
      <w:pPr>
        <w:pStyle w:val="Normal1"/>
        <w:ind w:left="2448" w:firstLine="432"/>
        <w:rPr>
          <w:rFonts w:ascii="Century Schoolbook" w:hAnsi="Century Schoolbook" w:cs="Times New Roman"/>
          <w:color w:val="auto"/>
          <w:sz w:val="22"/>
          <w:szCs w:val="22"/>
        </w:rPr>
      </w:pPr>
      <w:r w:rsidRPr="009A079B">
        <w:rPr>
          <w:rFonts w:ascii="Century Schoolbook" w:hAnsi="Century Schoolbook" w:cs="Times New Roman"/>
          <w:i/>
          <w:iCs/>
          <w:color w:val="auto"/>
          <w:sz w:val="22"/>
          <w:szCs w:val="22"/>
        </w:rPr>
        <w:t>Career Development</w:t>
      </w:r>
      <w:r w:rsidRPr="009A079B">
        <w:rPr>
          <w:rFonts w:ascii="Century Schoolbook" w:hAnsi="Century Schoolbook" w:cs="Times New Roman"/>
          <w:color w:val="auto"/>
          <w:sz w:val="22"/>
          <w:szCs w:val="22"/>
        </w:rPr>
        <w:t xml:space="preserve"> (2017-2018)</w:t>
      </w:r>
    </w:p>
    <w:p w14:paraId="63E01656" w14:textId="031D610D" w:rsidR="00C247AC" w:rsidRPr="009A079B" w:rsidRDefault="00C247AC" w:rsidP="00C247AC">
      <w:pPr>
        <w:pStyle w:val="Normal1"/>
        <w:ind w:left="288"/>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 xml:space="preserve">Student Service: </w:t>
      </w:r>
      <w:r w:rsidR="00A47CF2" w:rsidRPr="009A079B">
        <w:rPr>
          <w:rFonts w:ascii="Century Schoolbook" w:hAnsi="Century Schoolbook" w:cs="Times New Roman"/>
          <w:color w:val="auto"/>
          <w:sz w:val="22"/>
          <w:szCs w:val="22"/>
        </w:rPr>
        <w:tab/>
      </w:r>
      <w:r w:rsidR="00A47CF2" w:rsidRPr="009A079B">
        <w:rPr>
          <w:rFonts w:ascii="Century Schoolbook" w:hAnsi="Century Schoolbook" w:cs="Times New Roman"/>
          <w:color w:val="auto"/>
          <w:sz w:val="22"/>
          <w:szCs w:val="22"/>
        </w:rPr>
        <w:tab/>
      </w:r>
      <w:r w:rsidRPr="009A079B">
        <w:rPr>
          <w:rFonts w:ascii="Century Schoolbook" w:hAnsi="Century Schoolbook" w:cs="Times New Roman"/>
          <w:color w:val="auto"/>
          <w:sz w:val="22"/>
          <w:szCs w:val="22"/>
        </w:rPr>
        <w:t>Honor Board, Faculty Advisor (2017 – present)</w:t>
      </w:r>
    </w:p>
    <w:p w14:paraId="422EF2FD" w14:textId="6CEA700D" w:rsidR="00A47CF2" w:rsidRPr="009A079B" w:rsidRDefault="00A47CF2" w:rsidP="00A47CF2">
      <w:pPr>
        <w:pStyle w:val="Normal1"/>
        <w:ind w:left="2880" w:hanging="261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 xml:space="preserve">University Service: </w:t>
      </w:r>
      <w:r w:rsidRPr="009A079B">
        <w:rPr>
          <w:rFonts w:ascii="Century Schoolbook" w:hAnsi="Century Schoolbook" w:cs="Times New Roman"/>
          <w:color w:val="auto"/>
          <w:sz w:val="22"/>
          <w:szCs w:val="22"/>
        </w:rPr>
        <w:tab/>
        <w:t>Faculty Principal, College Scholars (2021 – present): lead a cohort of 10</w:t>
      </w:r>
      <w:r w:rsidR="00FE4608">
        <w:rPr>
          <w:rFonts w:ascii="Century Schoolbook" w:hAnsi="Century Schoolbook" w:cs="Times New Roman"/>
          <w:color w:val="auto"/>
          <w:sz w:val="22"/>
          <w:szCs w:val="22"/>
        </w:rPr>
        <w:t>-12</w:t>
      </w:r>
      <w:r w:rsidRPr="009A079B">
        <w:rPr>
          <w:rFonts w:ascii="Century Schoolbook" w:hAnsi="Century Schoolbook" w:cs="Times New Roman"/>
          <w:color w:val="auto"/>
          <w:sz w:val="22"/>
          <w:szCs w:val="22"/>
        </w:rPr>
        <w:t xml:space="preserve"> second-year students in monthly discussions related to racial justice</w:t>
      </w:r>
    </w:p>
    <w:p w14:paraId="1E2CA090" w14:textId="2ABFD26B" w:rsidR="00A47CF2" w:rsidRPr="009A079B" w:rsidRDefault="00A47CF2" w:rsidP="00A47CF2">
      <w:pPr>
        <w:pStyle w:val="Normal1"/>
        <w:ind w:left="2880" w:hanging="261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ab/>
        <w:t>Residential Faculty Mentor (2019-2021): one of three faculty leaders responsible for mentoring and intellectual engagement in a first-year dorm</w:t>
      </w:r>
    </w:p>
    <w:p w14:paraId="7899DFE3" w14:textId="77777777" w:rsidR="00A47CF2" w:rsidRPr="009A079B" w:rsidRDefault="00A47CF2" w:rsidP="00C247AC">
      <w:pPr>
        <w:pStyle w:val="Normal1"/>
        <w:ind w:left="288"/>
        <w:rPr>
          <w:rFonts w:ascii="Century Schoolbook" w:hAnsi="Century Schoolbook" w:cs="Times New Roman"/>
          <w:color w:val="auto"/>
          <w:sz w:val="22"/>
          <w:szCs w:val="22"/>
        </w:rPr>
      </w:pPr>
    </w:p>
    <w:p w14:paraId="26C5DC5A" w14:textId="77777777" w:rsidR="00C247AC" w:rsidRPr="009A079B" w:rsidRDefault="00C247AC" w:rsidP="00C247AC">
      <w:pPr>
        <w:pStyle w:val="Normal1"/>
        <w:ind w:left="288"/>
        <w:rPr>
          <w:rFonts w:ascii="Century Schoolbook" w:hAnsi="Century Schoolbook" w:cs="Times New Roman"/>
          <w:color w:val="auto"/>
          <w:sz w:val="22"/>
          <w:szCs w:val="22"/>
        </w:rPr>
      </w:pPr>
    </w:p>
    <w:p w14:paraId="136B552D" w14:textId="77777777" w:rsidR="00A47CF2" w:rsidRPr="009A079B" w:rsidRDefault="00A47CF2" w:rsidP="00A47CF2">
      <w:pPr>
        <w:pStyle w:val="Normal1"/>
        <w:ind w:left="288"/>
        <w:rPr>
          <w:rFonts w:ascii="Century Schoolbook" w:hAnsi="Century Schoolbook" w:cs="Times New Roman"/>
          <w:i/>
          <w:color w:val="auto"/>
          <w:sz w:val="22"/>
          <w:szCs w:val="22"/>
        </w:rPr>
      </w:pPr>
      <w:r w:rsidRPr="009A079B">
        <w:rPr>
          <w:rFonts w:ascii="Century Schoolbook" w:hAnsi="Century Schoolbook" w:cs="Times New Roman"/>
          <w:color w:val="auto"/>
          <w:sz w:val="22"/>
          <w:szCs w:val="22"/>
        </w:rPr>
        <w:t xml:space="preserve">Southeast Louisiana Legal Services      </w:t>
      </w:r>
      <w:r w:rsidRPr="009A079B">
        <w:rPr>
          <w:rFonts w:ascii="Century Schoolbook" w:hAnsi="Century Schoolbook" w:cs="Times New Roman"/>
          <w:i/>
          <w:color w:val="auto"/>
          <w:sz w:val="22"/>
          <w:szCs w:val="22"/>
        </w:rPr>
        <w:t>Skadden Fellow and Staff Attorney, Housing Unit</w:t>
      </w:r>
    </w:p>
    <w:p w14:paraId="17AF59DF" w14:textId="77777777" w:rsidR="00A47CF2" w:rsidRPr="009A079B" w:rsidRDefault="00A47CF2" w:rsidP="00A47CF2">
      <w:pPr>
        <w:pStyle w:val="Normal1"/>
        <w:tabs>
          <w:tab w:val="left" w:pos="7560"/>
        </w:tabs>
        <w:ind w:left="288"/>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2014-2016</w:t>
      </w:r>
    </w:p>
    <w:p w14:paraId="3D176E2B" w14:textId="77777777" w:rsidR="00A47CF2" w:rsidRPr="009A079B" w:rsidRDefault="00A47CF2" w:rsidP="00A47CF2">
      <w:pPr>
        <w:pStyle w:val="Normal1"/>
        <w:numPr>
          <w:ilvl w:val="0"/>
          <w:numId w:val="4"/>
        </w:numPr>
        <w:tabs>
          <w:tab w:val="left" w:pos="7560"/>
        </w:tabs>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The Skadden Fellowship is a highly competitive public interest fellowship that provides funding for two years. The Fellow’s salary and benefits are fully funded by the Skadden Foundation, which also provides training and a valuable network of public interest lawyers. The host organization provides supervision, mentoring, and office space and technology.</w:t>
      </w:r>
    </w:p>
    <w:p w14:paraId="46EA3D44" w14:textId="77777777" w:rsidR="00A47CF2" w:rsidRPr="009A079B" w:rsidRDefault="00A47CF2" w:rsidP="00A47CF2">
      <w:pPr>
        <w:pStyle w:val="Normal1"/>
        <w:numPr>
          <w:ilvl w:val="0"/>
          <w:numId w:val="4"/>
        </w:numPr>
        <w:tabs>
          <w:tab w:val="left" w:pos="7560"/>
        </w:tabs>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My project focused on housing discrimination cases brought on behalf of people with disabilities. I filed cases in state and federal courts involving direct discrimination and failure to make reasonable accommodations, including a successful application for a temporary restraining order and preliminary injunction that led to a permanent injunction against a parish housing authority. I successfully defended more than a dozen evictions in local courts.</w:t>
      </w:r>
    </w:p>
    <w:p w14:paraId="78DC6509" w14:textId="77777777" w:rsidR="00C247AC" w:rsidRPr="009A079B" w:rsidRDefault="00C247AC" w:rsidP="00C247AC">
      <w:pPr>
        <w:pStyle w:val="Normal1"/>
        <w:tabs>
          <w:tab w:val="left" w:pos="7560"/>
        </w:tabs>
        <w:ind w:left="288"/>
        <w:rPr>
          <w:rFonts w:ascii="Century Schoolbook" w:hAnsi="Century Schoolbook" w:cs="Times New Roman"/>
          <w:color w:val="auto"/>
          <w:sz w:val="22"/>
          <w:szCs w:val="22"/>
        </w:rPr>
      </w:pPr>
    </w:p>
    <w:p w14:paraId="3A1D05AE" w14:textId="41E1FC0A" w:rsidR="00C247AC" w:rsidRPr="009A079B" w:rsidRDefault="00C247AC" w:rsidP="00C247AC">
      <w:pPr>
        <w:pStyle w:val="Normal1"/>
        <w:tabs>
          <w:tab w:val="left" w:pos="7560"/>
        </w:tabs>
        <w:ind w:left="288"/>
        <w:rPr>
          <w:rFonts w:ascii="Century Schoolbook" w:hAnsi="Century Schoolbook" w:cs="Times New Roman"/>
          <w:i/>
          <w:color w:val="auto"/>
          <w:sz w:val="22"/>
          <w:szCs w:val="22"/>
        </w:rPr>
      </w:pPr>
      <w:r w:rsidRPr="009A079B">
        <w:rPr>
          <w:rFonts w:ascii="Century Schoolbook" w:hAnsi="Century Schoolbook" w:cs="Times New Roman"/>
          <w:color w:val="auto"/>
          <w:sz w:val="22"/>
          <w:szCs w:val="22"/>
        </w:rPr>
        <w:lastRenderedPageBreak/>
        <w:t>United States Court of Appeals for the Fifth Circuit</w:t>
      </w:r>
      <w:r w:rsidRPr="009A079B">
        <w:rPr>
          <w:rFonts w:ascii="Century Schoolbook" w:hAnsi="Century Schoolbook" w:cs="Times New Roman"/>
          <w:color w:val="auto"/>
          <w:sz w:val="22"/>
          <w:szCs w:val="22"/>
        </w:rPr>
        <w:tab/>
      </w:r>
      <w:r w:rsidRPr="009A079B">
        <w:rPr>
          <w:rFonts w:ascii="Century Schoolbook" w:hAnsi="Century Schoolbook" w:cs="Times New Roman"/>
          <w:color w:val="auto"/>
          <w:sz w:val="22"/>
          <w:szCs w:val="22"/>
        </w:rPr>
        <w:tab/>
        <w:t xml:space="preserve">     </w:t>
      </w:r>
      <w:r w:rsidR="00F0256F" w:rsidRPr="009A079B">
        <w:rPr>
          <w:rFonts w:ascii="Century Schoolbook" w:hAnsi="Century Schoolbook" w:cs="Times New Roman"/>
          <w:color w:val="auto"/>
          <w:sz w:val="22"/>
          <w:szCs w:val="22"/>
        </w:rPr>
        <w:t xml:space="preserve"> </w:t>
      </w:r>
      <w:r w:rsidRPr="009A079B">
        <w:rPr>
          <w:rFonts w:ascii="Century Schoolbook" w:hAnsi="Century Schoolbook" w:cs="Times New Roman"/>
          <w:i/>
          <w:color w:val="auto"/>
          <w:sz w:val="22"/>
          <w:szCs w:val="22"/>
        </w:rPr>
        <w:t>Law Clerk</w:t>
      </w:r>
    </w:p>
    <w:p w14:paraId="066FB4EA" w14:textId="77777777" w:rsidR="00C247AC" w:rsidRPr="009A079B" w:rsidRDefault="00C247AC" w:rsidP="00C247AC">
      <w:pPr>
        <w:pStyle w:val="Normal1"/>
        <w:tabs>
          <w:tab w:val="left" w:pos="7560"/>
        </w:tabs>
        <w:ind w:left="288"/>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Circuit Judge Jacques L. Wiener, Jr.</w:t>
      </w:r>
    </w:p>
    <w:p w14:paraId="067C1A2D" w14:textId="77777777" w:rsidR="00C247AC" w:rsidRPr="009A079B" w:rsidRDefault="00C247AC" w:rsidP="00C247AC">
      <w:pPr>
        <w:pStyle w:val="Normal1"/>
        <w:tabs>
          <w:tab w:val="left" w:pos="7560"/>
        </w:tabs>
        <w:ind w:left="288"/>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2013-2014</w:t>
      </w:r>
    </w:p>
    <w:p w14:paraId="36F7204A" w14:textId="33CA5F92" w:rsidR="00A47CF2" w:rsidRPr="009A079B" w:rsidRDefault="00A47CF2" w:rsidP="00A47CF2">
      <w:pPr>
        <w:pStyle w:val="Normal1"/>
        <w:numPr>
          <w:ilvl w:val="0"/>
          <w:numId w:val="3"/>
        </w:numPr>
        <w:tabs>
          <w:tab w:val="left" w:pos="7560"/>
        </w:tabs>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 xml:space="preserve">As one of two elbow clerks, I drafted bench memos and opinions in consultation with the Circuit Judge. Notable matters include: a signed opinion remanding a matter for new trial and ordering reassignment of the trial judge; a close affirmance of a trial court’s assessment of dangerousness; and an application of the </w:t>
      </w:r>
      <w:r w:rsidRPr="009A079B">
        <w:rPr>
          <w:rFonts w:ascii="Century Schoolbook" w:hAnsi="Century Schoolbook" w:cs="Times New Roman"/>
          <w:i/>
          <w:iCs/>
          <w:color w:val="auto"/>
          <w:sz w:val="22"/>
          <w:szCs w:val="22"/>
        </w:rPr>
        <w:t>Colorado River</w:t>
      </w:r>
      <w:r w:rsidRPr="009A079B">
        <w:rPr>
          <w:rFonts w:ascii="Century Schoolbook" w:hAnsi="Century Schoolbook" w:cs="Times New Roman"/>
          <w:color w:val="auto"/>
          <w:sz w:val="22"/>
          <w:szCs w:val="22"/>
        </w:rPr>
        <w:t xml:space="preserve"> abstention doctrine.</w:t>
      </w:r>
    </w:p>
    <w:p w14:paraId="6204E76B" w14:textId="77777777" w:rsidR="00C247AC" w:rsidRPr="009A079B" w:rsidRDefault="00C247AC" w:rsidP="00C247AC">
      <w:pPr>
        <w:pStyle w:val="Normal1"/>
        <w:tabs>
          <w:tab w:val="left" w:pos="7560"/>
        </w:tabs>
        <w:ind w:left="288"/>
        <w:rPr>
          <w:rFonts w:ascii="Century Schoolbook" w:hAnsi="Century Schoolbook" w:cs="Times New Roman"/>
          <w:color w:val="auto"/>
          <w:sz w:val="22"/>
          <w:szCs w:val="22"/>
        </w:rPr>
      </w:pPr>
    </w:p>
    <w:p w14:paraId="712EE11D" w14:textId="158EF489" w:rsidR="00C247AC" w:rsidRPr="009A079B" w:rsidRDefault="00C247AC" w:rsidP="00C247AC">
      <w:pPr>
        <w:pStyle w:val="Normal1"/>
        <w:tabs>
          <w:tab w:val="left" w:pos="7560"/>
        </w:tabs>
        <w:ind w:left="288"/>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United States District Court for the Eastern District of Louisiana</w:t>
      </w:r>
      <w:r w:rsidRPr="009A079B">
        <w:rPr>
          <w:rFonts w:ascii="Century Schoolbook" w:hAnsi="Century Schoolbook" w:cs="Times New Roman"/>
          <w:color w:val="auto"/>
          <w:sz w:val="22"/>
          <w:szCs w:val="22"/>
        </w:rPr>
        <w:tab/>
      </w:r>
      <w:r w:rsidRPr="009A079B">
        <w:rPr>
          <w:rFonts w:ascii="Century Schoolbook" w:hAnsi="Century Schoolbook" w:cs="Times New Roman"/>
          <w:color w:val="auto"/>
          <w:sz w:val="22"/>
          <w:szCs w:val="22"/>
        </w:rPr>
        <w:tab/>
        <w:t xml:space="preserve">      </w:t>
      </w:r>
      <w:r w:rsidRPr="009A079B">
        <w:rPr>
          <w:rFonts w:ascii="Century Schoolbook" w:hAnsi="Century Schoolbook" w:cs="Times New Roman"/>
          <w:i/>
          <w:color w:val="auto"/>
          <w:sz w:val="22"/>
          <w:szCs w:val="22"/>
        </w:rPr>
        <w:t>Law Clerk</w:t>
      </w:r>
    </w:p>
    <w:p w14:paraId="2E7F0F4C" w14:textId="77777777" w:rsidR="00C247AC" w:rsidRPr="009A079B" w:rsidRDefault="00C247AC" w:rsidP="00C247AC">
      <w:pPr>
        <w:pStyle w:val="Normal1"/>
        <w:ind w:left="288"/>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District Judge Eldon E. Fallon</w:t>
      </w:r>
    </w:p>
    <w:p w14:paraId="5B7A9087" w14:textId="77777777" w:rsidR="00C247AC" w:rsidRPr="009A079B" w:rsidRDefault="00C247AC" w:rsidP="00C247AC">
      <w:pPr>
        <w:pStyle w:val="Normal1"/>
        <w:tabs>
          <w:tab w:val="left" w:pos="7560"/>
        </w:tabs>
        <w:ind w:left="288"/>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2012-2013</w:t>
      </w:r>
    </w:p>
    <w:p w14:paraId="1DC5BA17" w14:textId="7A6E4E36" w:rsidR="00694BE4" w:rsidRPr="009A079B" w:rsidRDefault="00694BE4" w:rsidP="00694BE4">
      <w:pPr>
        <w:pStyle w:val="Normal1"/>
        <w:numPr>
          <w:ilvl w:val="0"/>
          <w:numId w:val="3"/>
        </w:numPr>
        <w:tabs>
          <w:tab w:val="left" w:pos="7560"/>
        </w:tabs>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 xml:space="preserve">Judge Fallon had employed three law clerks for several years—one assigned to even cases, one to odd, and one to MDLs including the Chinese Drywall litigation. I took over for the odd clerk and </w:t>
      </w:r>
      <w:r w:rsidR="007A5007">
        <w:rPr>
          <w:rFonts w:ascii="Century Schoolbook" w:hAnsi="Century Schoolbook" w:cs="Times New Roman"/>
          <w:color w:val="auto"/>
          <w:sz w:val="22"/>
          <w:szCs w:val="22"/>
        </w:rPr>
        <w:t xml:space="preserve">for </w:t>
      </w:r>
      <w:r w:rsidRPr="009A079B">
        <w:rPr>
          <w:rFonts w:ascii="Century Schoolbook" w:hAnsi="Century Schoolbook" w:cs="Times New Roman"/>
          <w:color w:val="auto"/>
          <w:sz w:val="22"/>
          <w:szCs w:val="22"/>
        </w:rPr>
        <w:t>the MDL clerk.</w:t>
      </w:r>
    </w:p>
    <w:p w14:paraId="4580D08F" w14:textId="41926754" w:rsidR="00694BE4" w:rsidRPr="009A079B" w:rsidRDefault="00694BE4" w:rsidP="00694BE4">
      <w:pPr>
        <w:pStyle w:val="Normal1"/>
        <w:numPr>
          <w:ilvl w:val="0"/>
          <w:numId w:val="3"/>
        </w:numPr>
        <w:tabs>
          <w:tab w:val="left" w:pos="7560"/>
        </w:tabs>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I attended all conferences, trials, and hearings, consulting with the judge before and after each. I prepared bench memos</w:t>
      </w:r>
      <w:r w:rsidR="00184F48">
        <w:rPr>
          <w:rFonts w:ascii="Century Schoolbook" w:hAnsi="Century Schoolbook" w:cs="Times New Roman"/>
          <w:color w:val="auto"/>
          <w:sz w:val="22"/>
          <w:szCs w:val="22"/>
        </w:rPr>
        <w:t xml:space="preserve">, </w:t>
      </w:r>
      <w:r w:rsidRPr="009A079B">
        <w:rPr>
          <w:rFonts w:ascii="Century Schoolbook" w:hAnsi="Century Schoolbook" w:cs="Times New Roman"/>
          <w:color w:val="auto"/>
          <w:sz w:val="22"/>
          <w:szCs w:val="22"/>
        </w:rPr>
        <w:t>draft opinions</w:t>
      </w:r>
      <w:r w:rsidR="00184F48">
        <w:rPr>
          <w:rFonts w:ascii="Century Schoolbook" w:hAnsi="Century Schoolbook" w:cs="Times New Roman"/>
          <w:color w:val="auto"/>
          <w:sz w:val="22"/>
          <w:szCs w:val="22"/>
        </w:rPr>
        <w:t>, and trial documents including bench books and jury charges and verdict forms</w:t>
      </w:r>
      <w:r w:rsidRPr="009A079B">
        <w:rPr>
          <w:rFonts w:ascii="Century Schoolbook" w:hAnsi="Century Schoolbook" w:cs="Times New Roman"/>
          <w:color w:val="auto"/>
          <w:sz w:val="22"/>
          <w:szCs w:val="22"/>
        </w:rPr>
        <w:t>.</w:t>
      </w:r>
    </w:p>
    <w:p w14:paraId="79CDCD5F" w14:textId="77777777" w:rsidR="00694BE4" w:rsidRPr="009A079B" w:rsidRDefault="00694BE4" w:rsidP="00694BE4">
      <w:pPr>
        <w:pStyle w:val="Normal1"/>
        <w:numPr>
          <w:ilvl w:val="0"/>
          <w:numId w:val="3"/>
        </w:numPr>
        <w:tabs>
          <w:tab w:val="left" w:pos="7560"/>
        </w:tabs>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During my year, the Chinese Drywall MDL proceeded along two tracks because some defendants agreed to a settlement while others resisted service under the Hague convention.</w:t>
      </w:r>
    </w:p>
    <w:p w14:paraId="674CA407" w14:textId="098FE518" w:rsidR="00694BE4" w:rsidRPr="009A079B" w:rsidRDefault="00694BE4" w:rsidP="00694BE4">
      <w:pPr>
        <w:pStyle w:val="Normal1"/>
        <w:numPr>
          <w:ilvl w:val="0"/>
          <w:numId w:val="3"/>
        </w:numPr>
        <w:tabs>
          <w:tab w:val="left" w:pos="7560"/>
        </w:tabs>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Other notable matters included several jury trials, including a multi-day civil trial involving contracts for construction of oil barges and a multi-day arson trial resulting in a conviction and life sentence.</w:t>
      </w:r>
    </w:p>
    <w:p w14:paraId="0807748C" w14:textId="77777777" w:rsidR="00C247AC" w:rsidRPr="009A079B" w:rsidRDefault="00C247AC" w:rsidP="00C247AC">
      <w:pPr>
        <w:pStyle w:val="Normal1"/>
        <w:ind w:firstLine="288"/>
        <w:rPr>
          <w:rFonts w:ascii="Century Schoolbook" w:hAnsi="Century Schoolbook" w:cs="Times New Roman"/>
          <w:color w:val="auto"/>
          <w:sz w:val="22"/>
          <w:szCs w:val="22"/>
        </w:rPr>
      </w:pPr>
    </w:p>
    <w:p w14:paraId="210EC8BF" w14:textId="1D889AE3" w:rsidR="00C247AC" w:rsidRPr="009A079B" w:rsidRDefault="00C247AC" w:rsidP="00C247AC">
      <w:pPr>
        <w:pStyle w:val="Normal1"/>
        <w:tabs>
          <w:tab w:val="left" w:pos="7740"/>
        </w:tabs>
        <w:ind w:left="288"/>
        <w:rPr>
          <w:rFonts w:ascii="Century Schoolbook" w:hAnsi="Century Schoolbook" w:cs="Times New Roman"/>
          <w:i/>
          <w:color w:val="auto"/>
          <w:sz w:val="22"/>
          <w:szCs w:val="22"/>
        </w:rPr>
      </w:pPr>
      <w:r w:rsidRPr="009A079B">
        <w:rPr>
          <w:rFonts w:ascii="Century Schoolbook" w:hAnsi="Century Schoolbook" w:cs="Times New Roman"/>
          <w:color w:val="auto"/>
          <w:sz w:val="22"/>
          <w:szCs w:val="22"/>
        </w:rPr>
        <w:t xml:space="preserve">Barrasso </w:t>
      </w:r>
      <w:proofErr w:type="spellStart"/>
      <w:r w:rsidRPr="009A079B">
        <w:rPr>
          <w:rFonts w:ascii="Century Schoolbook" w:hAnsi="Century Schoolbook" w:cs="Times New Roman"/>
          <w:color w:val="auto"/>
          <w:sz w:val="22"/>
          <w:szCs w:val="22"/>
        </w:rPr>
        <w:t>Usdin</w:t>
      </w:r>
      <w:proofErr w:type="spellEnd"/>
      <w:r w:rsidRPr="009A079B">
        <w:rPr>
          <w:rFonts w:ascii="Century Schoolbook" w:hAnsi="Century Schoolbook" w:cs="Times New Roman"/>
          <w:color w:val="auto"/>
          <w:sz w:val="22"/>
          <w:szCs w:val="22"/>
        </w:rPr>
        <w:t xml:space="preserve"> Kupperman Freeman &amp; Sarver, L.L.C.</w:t>
      </w:r>
      <w:r w:rsidR="00AF78C8" w:rsidRPr="009A079B">
        <w:rPr>
          <w:rFonts w:ascii="Century Schoolbook" w:hAnsi="Century Schoolbook" w:cs="Times New Roman"/>
          <w:color w:val="auto"/>
          <w:sz w:val="22"/>
          <w:szCs w:val="22"/>
        </w:rPr>
        <w:t xml:space="preserve">                          </w:t>
      </w:r>
      <w:r w:rsidRPr="009A079B">
        <w:rPr>
          <w:rFonts w:ascii="Century Schoolbook" w:hAnsi="Century Schoolbook" w:cs="Times New Roman"/>
          <w:i/>
          <w:color w:val="auto"/>
          <w:sz w:val="22"/>
          <w:szCs w:val="22"/>
        </w:rPr>
        <w:t>Summer Associate</w:t>
      </w:r>
    </w:p>
    <w:p w14:paraId="4F380F78" w14:textId="77777777" w:rsidR="00C247AC" w:rsidRPr="009A079B" w:rsidRDefault="00C247AC" w:rsidP="00C247AC">
      <w:pPr>
        <w:pStyle w:val="Normal1"/>
        <w:ind w:firstLine="288"/>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Fishman Haygood Phelps Walmsley Willis &amp; Swanson, L.L.P.</w:t>
      </w:r>
    </w:p>
    <w:p w14:paraId="34B63E65" w14:textId="77777777" w:rsidR="00C247AC" w:rsidRPr="009A079B" w:rsidRDefault="00C247AC" w:rsidP="00C247AC">
      <w:pPr>
        <w:pStyle w:val="Normal1"/>
        <w:tabs>
          <w:tab w:val="left" w:pos="7560"/>
        </w:tabs>
        <w:ind w:left="288"/>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Summer 2011</w:t>
      </w:r>
    </w:p>
    <w:p w14:paraId="5C934748" w14:textId="77777777" w:rsidR="00694BE4" w:rsidRPr="009A079B" w:rsidRDefault="00694BE4" w:rsidP="00694BE4">
      <w:pPr>
        <w:pStyle w:val="Normal1"/>
        <w:numPr>
          <w:ilvl w:val="0"/>
          <w:numId w:val="2"/>
        </w:numPr>
        <w:tabs>
          <w:tab w:val="left" w:pos="7560"/>
        </w:tabs>
        <w:rPr>
          <w:rFonts w:ascii="Century Schoolbook" w:hAnsi="Century Schoolbook" w:cs="Times New Roman"/>
          <w:b/>
          <w:color w:val="auto"/>
          <w:sz w:val="22"/>
          <w:szCs w:val="22"/>
        </w:rPr>
      </w:pPr>
      <w:r w:rsidRPr="009A079B">
        <w:rPr>
          <w:rFonts w:ascii="Century Schoolbook" w:hAnsi="Century Schoolbook" w:cs="Times New Roman"/>
          <w:bCs/>
          <w:color w:val="auto"/>
          <w:sz w:val="22"/>
          <w:szCs w:val="22"/>
        </w:rPr>
        <w:t>Drafted research memos and motions in commercial and insurance matters.</w:t>
      </w:r>
    </w:p>
    <w:p w14:paraId="6E6AF4CC" w14:textId="77777777" w:rsidR="00694BE4" w:rsidRPr="009A079B" w:rsidRDefault="00694BE4" w:rsidP="00694BE4">
      <w:pPr>
        <w:pStyle w:val="Normal1"/>
        <w:tabs>
          <w:tab w:val="left" w:pos="7560"/>
        </w:tabs>
        <w:rPr>
          <w:rFonts w:ascii="Century Schoolbook" w:hAnsi="Century Schoolbook" w:cs="Times New Roman"/>
          <w:color w:val="auto"/>
          <w:sz w:val="22"/>
          <w:szCs w:val="22"/>
        </w:rPr>
      </w:pPr>
    </w:p>
    <w:p w14:paraId="7223A1FA" w14:textId="77777777" w:rsidR="00694BE4" w:rsidRPr="009A079B" w:rsidRDefault="00694BE4" w:rsidP="00694BE4">
      <w:pPr>
        <w:pStyle w:val="Normal1"/>
        <w:tabs>
          <w:tab w:val="left" w:pos="7740"/>
        </w:tabs>
        <w:ind w:left="288"/>
        <w:rPr>
          <w:rFonts w:ascii="Century Schoolbook" w:hAnsi="Century Schoolbook" w:cs="Times New Roman"/>
          <w:i/>
          <w:color w:val="auto"/>
          <w:sz w:val="22"/>
          <w:szCs w:val="22"/>
        </w:rPr>
      </w:pPr>
      <w:r w:rsidRPr="009A079B">
        <w:rPr>
          <w:rFonts w:ascii="Century Schoolbook" w:hAnsi="Century Schoolbook" w:cs="Times New Roman"/>
          <w:color w:val="auto"/>
          <w:sz w:val="22"/>
          <w:szCs w:val="22"/>
        </w:rPr>
        <w:t xml:space="preserve">United States Attorney’s Office for the Eastern District of Louisiana         </w:t>
      </w:r>
      <w:r w:rsidRPr="009A079B">
        <w:rPr>
          <w:rFonts w:ascii="Century Schoolbook" w:hAnsi="Century Schoolbook" w:cs="Times New Roman"/>
          <w:i/>
          <w:color w:val="auto"/>
          <w:sz w:val="22"/>
          <w:szCs w:val="22"/>
        </w:rPr>
        <w:t>Summer Intern</w:t>
      </w:r>
    </w:p>
    <w:p w14:paraId="5C09DE38" w14:textId="77777777" w:rsidR="00694BE4" w:rsidRPr="009A079B" w:rsidRDefault="00694BE4" w:rsidP="00694BE4">
      <w:pPr>
        <w:pStyle w:val="Normal1"/>
        <w:tabs>
          <w:tab w:val="left" w:pos="7560"/>
        </w:tabs>
        <w:ind w:left="288"/>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Summer 2010</w:t>
      </w:r>
    </w:p>
    <w:p w14:paraId="1767548F" w14:textId="2CB48609" w:rsidR="00694BE4" w:rsidRPr="009A079B" w:rsidRDefault="00694BE4" w:rsidP="00694BE4">
      <w:pPr>
        <w:pStyle w:val="Normal1"/>
        <w:numPr>
          <w:ilvl w:val="0"/>
          <w:numId w:val="2"/>
        </w:numPr>
        <w:tabs>
          <w:tab w:val="left" w:pos="7560"/>
        </w:tabs>
        <w:rPr>
          <w:rFonts w:ascii="Century Schoolbook" w:hAnsi="Century Schoolbook" w:cs="Times New Roman"/>
          <w:b/>
          <w:color w:val="auto"/>
          <w:sz w:val="22"/>
          <w:szCs w:val="22"/>
        </w:rPr>
      </w:pPr>
      <w:r w:rsidRPr="009A079B">
        <w:rPr>
          <w:rFonts w:ascii="Century Schoolbook" w:hAnsi="Century Schoolbook" w:cs="Times New Roman"/>
          <w:bCs/>
          <w:color w:val="auto"/>
          <w:sz w:val="22"/>
          <w:szCs w:val="22"/>
        </w:rPr>
        <w:t>Drafted opposition memos to § 2255 petitions and one appellate brief</w:t>
      </w:r>
    </w:p>
    <w:p w14:paraId="2CCFC0B3" w14:textId="77777777" w:rsidR="00694BE4" w:rsidRPr="009A079B" w:rsidRDefault="00694BE4" w:rsidP="00694BE4">
      <w:pPr>
        <w:pStyle w:val="Normal1"/>
        <w:spacing w:before="240" w:after="40"/>
        <w:rPr>
          <w:rFonts w:ascii="Century Schoolbook" w:hAnsi="Century Schoolbook" w:cs="Times New Roman"/>
          <w:color w:val="auto"/>
          <w:sz w:val="22"/>
          <w:szCs w:val="22"/>
        </w:rPr>
      </w:pPr>
      <w:r w:rsidRPr="009A079B">
        <w:rPr>
          <w:rFonts w:ascii="Century Schoolbook" w:hAnsi="Century Schoolbook" w:cs="Times New Roman"/>
          <w:smallCaps/>
          <w:color w:val="auto"/>
          <w:sz w:val="22"/>
          <w:szCs w:val="22"/>
        </w:rPr>
        <w:t>Education</w:t>
      </w:r>
    </w:p>
    <w:p w14:paraId="4962F1AD" w14:textId="77777777" w:rsidR="00C247AC" w:rsidRPr="009A079B" w:rsidRDefault="00C247AC" w:rsidP="00C247AC">
      <w:pPr>
        <w:pStyle w:val="Normal1"/>
        <w:ind w:left="27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Tulane University Law School</w:t>
      </w:r>
    </w:p>
    <w:p w14:paraId="73DE6298" w14:textId="77777777" w:rsidR="00C247AC" w:rsidRPr="009A079B" w:rsidRDefault="00C247AC" w:rsidP="00C247AC">
      <w:pPr>
        <w:pStyle w:val="Normal1"/>
        <w:tabs>
          <w:tab w:val="left" w:pos="7560"/>
        </w:tabs>
        <w:ind w:left="27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 xml:space="preserve">Juris Doctor, </w:t>
      </w:r>
      <w:r w:rsidRPr="009A079B">
        <w:rPr>
          <w:rFonts w:ascii="Century Schoolbook" w:hAnsi="Century Schoolbook" w:cs="Times New Roman"/>
          <w:i/>
          <w:color w:val="auto"/>
          <w:sz w:val="22"/>
          <w:szCs w:val="22"/>
        </w:rPr>
        <w:t>summa cum laude</w:t>
      </w:r>
      <w:r w:rsidRPr="009A079B">
        <w:rPr>
          <w:rFonts w:ascii="Century Schoolbook" w:hAnsi="Century Schoolbook" w:cs="Times New Roman"/>
          <w:color w:val="auto"/>
          <w:sz w:val="22"/>
          <w:szCs w:val="22"/>
        </w:rPr>
        <w:t>, 2012</w:t>
      </w:r>
    </w:p>
    <w:p w14:paraId="5581BF88" w14:textId="77777777" w:rsidR="002032C8" w:rsidRPr="009A079B" w:rsidRDefault="002032C8" w:rsidP="002032C8">
      <w:pPr>
        <w:pStyle w:val="Normal1"/>
        <w:tabs>
          <w:tab w:val="left" w:pos="7560"/>
        </w:tabs>
        <w:ind w:left="720" w:right="288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John Minor Wisdom Award</w:t>
      </w:r>
    </w:p>
    <w:p w14:paraId="733A0582" w14:textId="16FF990B" w:rsidR="00694BE4" w:rsidRPr="009A079B" w:rsidRDefault="00694BE4" w:rsidP="002032C8">
      <w:pPr>
        <w:pStyle w:val="Normal1"/>
        <w:tabs>
          <w:tab w:val="left" w:pos="7560"/>
        </w:tabs>
        <w:ind w:left="720" w:right="288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Order of the Coif</w:t>
      </w:r>
    </w:p>
    <w:p w14:paraId="491387A2" w14:textId="77777777" w:rsidR="00694BE4" w:rsidRPr="009A079B" w:rsidRDefault="00C247AC" w:rsidP="002032C8">
      <w:pPr>
        <w:pStyle w:val="Normal1"/>
        <w:tabs>
          <w:tab w:val="left" w:pos="7560"/>
        </w:tabs>
        <w:ind w:left="72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Student Attorney, Civil Litigation Clinic</w:t>
      </w:r>
    </w:p>
    <w:p w14:paraId="0D473F2D" w14:textId="31C05B1B" w:rsidR="00694BE4" w:rsidRPr="009A079B" w:rsidRDefault="00694BE4" w:rsidP="00694BE4">
      <w:pPr>
        <w:pStyle w:val="Normal1"/>
        <w:numPr>
          <w:ilvl w:val="0"/>
          <w:numId w:val="2"/>
        </w:numPr>
        <w:tabs>
          <w:tab w:val="left" w:pos="7560"/>
        </w:tabs>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 xml:space="preserve">Presented oral argument before the United States Court of Appeals for the Fifth Circuit in a case challenging Louisiana’s funding of public defenders by means of a reverse contingent fee—indigent defendants were required to pay a fee to their attorneys only </w:t>
      </w:r>
      <w:r w:rsidR="00184F48" w:rsidRPr="009A079B">
        <w:rPr>
          <w:rFonts w:ascii="Century Schoolbook" w:hAnsi="Century Schoolbook" w:cs="Times New Roman"/>
          <w:color w:val="auto"/>
          <w:sz w:val="22"/>
          <w:szCs w:val="22"/>
        </w:rPr>
        <w:t>if</w:t>
      </w:r>
      <w:r w:rsidRPr="009A079B">
        <w:rPr>
          <w:rFonts w:ascii="Century Schoolbook" w:hAnsi="Century Schoolbook" w:cs="Times New Roman"/>
          <w:color w:val="auto"/>
          <w:sz w:val="22"/>
          <w:szCs w:val="22"/>
        </w:rPr>
        <w:t xml:space="preserve"> they were convicted or pleaded guilty. I presented our equal </w:t>
      </w:r>
      <w:r w:rsidRPr="009A079B">
        <w:rPr>
          <w:rFonts w:ascii="Century Schoolbook" w:hAnsi="Century Schoolbook" w:cs="Times New Roman"/>
          <w:color w:val="auto"/>
          <w:sz w:val="22"/>
          <w:szCs w:val="22"/>
        </w:rPr>
        <w:lastRenderedPageBreak/>
        <w:t xml:space="preserve">protection argument; my fellow student attorneys addressed </w:t>
      </w:r>
      <w:proofErr w:type="gramStart"/>
      <w:r w:rsidRPr="009A079B">
        <w:rPr>
          <w:rFonts w:ascii="Century Schoolbook" w:hAnsi="Century Schoolbook" w:cs="Times New Roman"/>
          <w:i/>
          <w:iCs/>
          <w:color w:val="auto"/>
          <w:sz w:val="22"/>
          <w:szCs w:val="22"/>
        </w:rPr>
        <w:t>Younger</w:t>
      </w:r>
      <w:proofErr w:type="gramEnd"/>
      <w:r w:rsidRPr="009A079B">
        <w:rPr>
          <w:rFonts w:ascii="Century Schoolbook" w:hAnsi="Century Schoolbook" w:cs="Times New Roman"/>
          <w:color w:val="auto"/>
          <w:sz w:val="22"/>
          <w:szCs w:val="22"/>
        </w:rPr>
        <w:t xml:space="preserve"> abstention and our rebuttal.</w:t>
      </w:r>
    </w:p>
    <w:p w14:paraId="014F555A" w14:textId="77777777" w:rsidR="00694BE4" w:rsidRPr="009A079B" w:rsidRDefault="00694BE4" w:rsidP="00694BE4">
      <w:pPr>
        <w:pStyle w:val="Normal1"/>
        <w:numPr>
          <w:ilvl w:val="0"/>
          <w:numId w:val="2"/>
        </w:numPr>
        <w:tabs>
          <w:tab w:val="left" w:pos="7560"/>
        </w:tabs>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Conducted initial client interviews and investigation in an employment discrimination case brought by a female sheriff’s deputy alleging harassment and a hostile work environment.</w:t>
      </w:r>
    </w:p>
    <w:p w14:paraId="154B9643" w14:textId="6D21E9CE" w:rsidR="00C247AC" w:rsidRPr="009A079B" w:rsidRDefault="00C247AC" w:rsidP="002032C8">
      <w:pPr>
        <w:pStyle w:val="Normal1"/>
        <w:tabs>
          <w:tab w:val="left" w:pos="7560"/>
        </w:tabs>
        <w:ind w:left="72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Environmental Law Certificate</w:t>
      </w:r>
    </w:p>
    <w:p w14:paraId="4F2C3D77" w14:textId="77777777" w:rsidR="002032C8" w:rsidRPr="009A079B" w:rsidRDefault="002032C8" w:rsidP="002032C8">
      <w:pPr>
        <w:pStyle w:val="Normal1"/>
        <w:tabs>
          <w:tab w:val="left" w:pos="7560"/>
        </w:tabs>
        <w:spacing w:after="160"/>
        <w:ind w:left="72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 xml:space="preserve">Articles Editor, </w:t>
      </w:r>
      <w:r w:rsidRPr="009A079B">
        <w:rPr>
          <w:rFonts w:ascii="Century Schoolbook" w:hAnsi="Century Schoolbook" w:cs="Times New Roman"/>
          <w:i/>
          <w:iCs/>
          <w:color w:val="auto"/>
          <w:sz w:val="22"/>
          <w:szCs w:val="22"/>
        </w:rPr>
        <w:t>Tulane Law Review</w:t>
      </w:r>
      <w:r w:rsidRPr="009A079B">
        <w:rPr>
          <w:rFonts w:ascii="Century Schoolbook" w:hAnsi="Century Schoolbook" w:cs="Times New Roman"/>
          <w:color w:val="auto"/>
          <w:sz w:val="22"/>
          <w:szCs w:val="22"/>
        </w:rPr>
        <w:t>, Volume 86 (2011-2012)</w:t>
      </w:r>
    </w:p>
    <w:p w14:paraId="440F0187" w14:textId="77777777" w:rsidR="00C247AC" w:rsidRPr="009A079B" w:rsidRDefault="00C247AC" w:rsidP="00C247AC">
      <w:pPr>
        <w:pStyle w:val="Normal1"/>
        <w:ind w:left="27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Yale University</w:t>
      </w:r>
    </w:p>
    <w:p w14:paraId="0EBA6A8B" w14:textId="77777777" w:rsidR="00C247AC" w:rsidRPr="009A079B" w:rsidRDefault="00C247AC" w:rsidP="00C247AC">
      <w:pPr>
        <w:pStyle w:val="Normal1"/>
        <w:tabs>
          <w:tab w:val="left" w:pos="7560"/>
        </w:tabs>
        <w:ind w:left="27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B.A. in English, 2003</w:t>
      </w:r>
    </w:p>
    <w:p w14:paraId="256118F0" w14:textId="77777777" w:rsidR="00694BE4" w:rsidRPr="009A079B" w:rsidRDefault="00694BE4" w:rsidP="00694BE4">
      <w:pPr>
        <w:pStyle w:val="Normal1"/>
        <w:spacing w:before="240" w:after="40"/>
        <w:rPr>
          <w:rFonts w:ascii="Century Schoolbook" w:hAnsi="Century Schoolbook" w:cs="Times New Roman"/>
          <w:color w:val="auto"/>
          <w:sz w:val="22"/>
          <w:szCs w:val="22"/>
        </w:rPr>
      </w:pPr>
      <w:r w:rsidRPr="009A079B">
        <w:rPr>
          <w:rFonts w:ascii="Century Schoolbook" w:hAnsi="Century Schoolbook" w:cs="Times New Roman"/>
          <w:smallCaps/>
          <w:color w:val="auto"/>
          <w:sz w:val="22"/>
          <w:szCs w:val="22"/>
        </w:rPr>
        <w:t>Publications</w:t>
      </w:r>
    </w:p>
    <w:p w14:paraId="1906716D" w14:textId="77777777" w:rsidR="00694BE4" w:rsidRPr="009A079B" w:rsidRDefault="00694BE4" w:rsidP="00694BE4">
      <w:pPr>
        <w:pStyle w:val="Normal1"/>
        <w:spacing w:line="240" w:lineRule="auto"/>
        <w:ind w:left="288"/>
        <w:rPr>
          <w:rFonts w:ascii="Century Schoolbook" w:hAnsi="Century Schoolbook" w:cs="Times New Roman"/>
          <w:iCs/>
          <w:color w:val="auto"/>
          <w:sz w:val="22"/>
          <w:szCs w:val="22"/>
        </w:rPr>
      </w:pPr>
      <w:r w:rsidRPr="009A079B">
        <w:rPr>
          <w:rFonts w:ascii="Century Schoolbook" w:hAnsi="Century Schoolbook" w:cs="Times New Roman"/>
          <w:i/>
          <w:color w:val="auto"/>
          <w:sz w:val="22"/>
          <w:szCs w:val="22"/>
        </w:rPr>
        <w:t>Supreme Court Preview</w:t>
      </w:r>
      <w:r w:rsidRPr="009A079B">
        <w:rPr>
          <w:rFonts w:ascii="Century Schoolbook" w:hAnsi="Century Schoolbook" w:cs="Times New Roman"/>
          <w:iCs/>
          <w:color w:val="auto"/>
          <w:sz w:val="22"/>
          <w:szCs w:val="22"/>
        </w:rPr>
        <w:t xml:space="preserve"> and</w:t>
      </w:r>
    </w:p>
    <w:p w14:paraId="273A2BF4" w14:textId="77777777" w:rsidR="00694BE4" w:rsidRPr="009A079B" w:rsidRDefault="00694BE4" w:rsidP="00694BE4">
      <w:pPr>
        <w:pStyle w:val="Normal1"/>
        <w:spacing w:after="120" w:line="240" w:lineRule="auto"/>
        <w:ind w:left="288"/>
        <w:rPr>
          <w:rFonts w:ascii="Century Schoolbook" w:hAnsi="Century Schoolbook" w:cs="Times New Roman"/>
          <w:color w:val="auto"/>
          <w:sz w:val="22"/>
          <w:szCs w:val="22"/>
        </w:rPr>
      </w:pPr>
      <w:r w:rsidRPr="009A079B">
        <w:rPr>
          <w:rFonts w:ascii="Century Schoolbook" w:hAnsi="Century Schoolbook" w:cs="Times New Roman"/>
          <w:i/>
          <w:color w:val="auto"/>
          <w:sz w:val="22"/>
          <w:szCs w:val="22"/>
        </w:rPr>
        <w:t>Supreme Court Update</w:t>
      </w:r>
      <w:r w:rsidRPr="009A079B">
        <w:rPr>
          <w:rFonts w:ascii="Century Schoolbook" w:hAnsi="Century Schoolbook" w:cs="Times New Roman"/>
          <w:color w:val="auto"/>
          <w:sz w:val="22"/>
          <w:szCs w:val="22"/>
        </w:rPr>
        <w:t>, Federal Bar Association Civil Rights Insider, Fall and Spring issues, Fall 2017 – present</w:t>
      </w:r>
    </w:p>
    <w:p w14:paraId="7DB502CF" w14:textId="77777777" w:rsidR="00694BE4" w:rsidRPr="009A079B" w:rsidRDefault="00694BE4" w:rsidP="00694BE4">
      <w:pPr>
        <w:pStyle w:val="Normal1"/>
        <w:spacing w:line="240" w:lineRule="auto"/>
        <w:ind w:left="288"/>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 xml:space="preserve">Comment: </w:t>
      </w:r>
      <w:r w:rsidRPr="009A079B">
        <w:rPr>
          <w:rFonts w:ascii="Century Schoolbook" w:hAnsi="Century Schoolbook" w:cs="Times New Roman"/>
          <w:i/>
          <w:color w:val="auto"/>
          <w:sz w:val="22"/>
          <w:szCs w:val="22"/>
        </w:rPr>
        <w:t xml:space="preserve">Louisiana’s </w:t>
      </w:r>
      <w:r w:rsidRPr="009A079B">
        <w:rPr>
          <w:rFonts w:ascii="Century Schoolbook" w:hAnsi="Century Schoolbook" w:cs="Times New Roman"/>
          <w:color w:val="auto"/>
          <w:sz w:val="22"/>
          <w:szCs w:val="22"/>
        </w:rPr>
        <w:t>Mono Lake:</w:t>
      </w:r>
      <w:r w:rsidRPr="009A079B">
        <w:rPr>
          <w:rFonts w:ascii="Century Schoolbook" w:hAnsi="Century Schoolbook" w:cs="Times New Roman"/>
          <w:i/>
          <w:color w:val="auto"/>
          <w:sz w:val="22"/>
          <w:szCs w:val="22"/>
        </w:rPr>
        <w:t xml:space="preserve"> The Public Trust Doctrine and</w:t>
      </w:r>
      <w:r w:rsidRPr="009A079B">
        <w:rPr>
          <w:rFonts w:ascii="Century Schoolbook" w:hAnsi="Century Schoolbook" w:cs="Times New Roman"/>
          <w:color w:val="auto"/>
          <w:sz w:val="22"/>
          <w:szCs w:val="22"/>
        </w:rPr>
        <w:t xml:space="preserve"> </w:t>
      </w:r>
      <w:r w:rsidRPr="009A079B">
        <w:rPr>
          <w:rFonts w:ascii="Century Schoolbook" w:hAnsi="Century Schoolbook" w:cs="Times New Roman"/>
          <w:i/>
          <w:color w:val="auto"/>
          <w:sz w:val="22"/>
          <w:szCs w:val="22"/>
        </w:rPr>
        <w:t>Oil Company Liability for Louisiana’s Vanishing Wetlands</w:t>
      </w:r>
      <w:r w:rsidRPr="009A079B">
        <w:rPr>
          <w:rFonts w:ascii="Century Schoolbook" w:hAnsi="Century Schoolbook" w:cs="Times New Roman"/>
          <w:color w:val="auto"/>
          <w:sz w:val="22"/>
          <w:szCs w:val="22"/>
        </w:rPr>
        <w:t xml:space="preserve">, </w:t>
      </w:r>
      <w:r w:rsidRPr="009A079B">
        <w:rPr>
          <w:rFonts w:ascii="Century Schoolbook" w:hAnsi="Century Schoolbook" w:cs="Times New Roman"/>
          <w:i/>
          <w:color w:val="auto"/>
          <w:sz w:val="22"/>
          <w:szCs w:val="22"/>
        </w:rPr>
        <w:t>Tulane Law Review</w:t>
      </w:r>
      <w:r w:rsidRPr="009A079B">
        <w:rPr>
          <w:rFonts w:ascii="Century Schoolbook" w:hAnsi="Century Schoolbook" w:cs="Times New Roman"/>
          <w:color w:val="auto"/>
          <w:sz w:val="22"/>
          <w:szCs w:val="22"/>
        </w:rPr>
        <w:t>, Volume 86, Fall 2011</w:t>
      </w:r>
    </w:p>
    <w:p w14:paraId="2439B0DE" w14:textId="77777777" w:rsidR="00694BE4" w:rsidRPr="009A079B" w:rsidRDefault="00694BE4" w:rsidP="00694BE4">
      <w:pPr>
        <w:pStyle w:val="Normal1"/>
        <w:keepNext/>
        <w:spacing w:before="240" w:after="40"/>
        <w:rPr>
          <w:rFonts w:ascii="Century Schoolbook" w:hAnsi="Century Schoolbook" w:cs="Times New Roman"/>
          <w:color w:val="auto"/>
          <w:sz w:val="22"/>
          <w:szCs w:val="22"/>
        </w:rPr>
      </w:pPr>
      <w:r w:rsidRPr="009A079B">
        <w:rPr>
          <w:rFonts w:ascii="Century Schoolbook" w:hAnsi="Century Schoolbook" w:cs="Times New Roman"/>
          <w:smallCaps/>
          <w:color w:val="auto"/>
          <w:sz w:val="22"/>
          <w:szCs w:val="22"/>
        </w:rPr>
        <w:t>Selected Presentations</w:t>
      </w:r>
    </w:p>
    <w:p w14:paraId="5442FD41" w14:textId="700D68F8" w:rsidR="00694BE4" w:rsidRPr="009A079B" w:rsidRDefault="00694BE4" w:rsidP="00694BE4">
      <w:pPr>
        <w:pStyle w:val="Normal1"/>
        <w:spacing w:after="120"/>
        <w:ind w:left="288"/>
        <w:rPr>
          <w:rFonts w:ascii="Century Schoolbook" w:hAnsi="Century Schoolbook" w:cs="Times New Roman"/>
          <w:iCs/>
          <w:color w:val="auto"/>
          <w:sz w:val="22"/>
          <w:szCs w:val="22"/>
        </w:rPr>
      </w:pPr>
      <w:bookmarkStart w:id="0" w:name="_Hlk159848429"/>
      <w:r w:rsidRPr="009A079B">
        <w:rPr>
          <w:rFonts w:ascii="Century Schoolbook" w:hAnsi="Century Schoolbook" w:cs="Times New Roman"/>
          <w:i/>
          <w:color w:val="auto"/>
          <w:sz w:val="22"/>
          <w:szCs w:val="22"/>
        </w:rPr>
        <w:t>Supreme Court Update</w:t>
      </w:r>
      <w:r w:rsidRPr="009A079B">
        <w:rPr>
          <w:rFonts w:ascii="Century Schoolbook" w:hAnsi="Century Schoolbook" w:cs="Times New Roman"/>
          <w:iCs/>
          <w:color w:val="auto"/>
          <w:sz w:val="22"/>
          <w:szCs w:val="22"/>
        </w:rPr>
        <w:t>, Southern Poverty Law Center Annual Legal Retreat – New Orleans, LA, September 28, 2023</w:t>
      </w:r>
    </w:p>
    <w:p w14:paraId="28FA80D4" w14:textId="470BBEBA" w:rsidR="00694BE4" w:rsidRPr="009A079B" w:rsidRDefault="00694BE4" w:rsidP="00694BE4">
      <w:pPr>
        <w:pStyle w:val="Normal1"/>
        <w:spacing w:after="120"/>
        <w:ind w:left="288"/>
        <w:rPr>
          <w:rFonts w:ascii="Century Schoolbook" w:hAnsi="Century Schoolbook" w:cs="Times New Roman"/>
          <w:iCs/>
          <w:color w:val="auto"/>
          <w:sz w:val="22"/>
          <w:szCs w:val="22"/>
        </w:rPr>
      </w:pPr>
      <w:r w:rsidRPr="009A079B">
        <w:rPr>
          <w:rFonts w:ascii="Century Schoolbook" w:hAnsi="Century Schoolbook" w:cs="Times New Roman"/>
          <w:i/>
          <w:color w:val="auto"/>
          <w:sz w:val="22"/>
          <w:szCs w:val="22"/>
        </w:rPr>
        <w:t>Civil Rights Cases and Law School Clinics</w:t>
      </w:r>
      <w:r w:rsidRPr="009A079B">
        <w:rPr>
          <w:rFonts w:ascii="Century Schoolbook" w:hAnsi="Century Schoolbook" w:cs="Times New Roman"/>
          <w:iCs/>
          <w:color w:val="auto"/>
          <w:sz w:val="22"/>
          <w:szCs w:val="22"/>
        </w:rPr>
        <w:t xml:space="preserve">, Henry P. Julien, II Law Scholars Program – New Orleans, LA, July 25, </w:t>
      </w:r>
      <w:proofErr w:type="gramStart"/>
      <w:r w:rsidRPr="009A079B">
        <w:rPr>
          <w:rFonts w:ascii="Century Schoolbook" w:hAnsi="Century Schoolbook" w:cs="Times New Roman"/>
          <w:iCs/>
          <w:color w:val="auto"/>
          <w:sz w:val="22"/>
          <w:szCs w:val="22"/>
        </w:rPr>
        <w:t>2023</w:t>
      </w:r>
      <w:proofErr w:type="gramEnd"/>
      <w:r w:rsidR="00FE4608">
        <w:rPr>
          <w:rFonts w:ascii="Century Schoolbook" w:hAnsi="Century Schoolbook" w:cs="Times New Roman"/>
          <w:iCs/>
          <w:color w:val="auto"/>
          <w:sz w:val="22"/>
          <w:szCs w:val="22"/>
        </w:rPr>
        <w:t xml:space="preserve"> and July 23, 2024</w:t>
      </w:r>
    </w:p>
    <w:p w14:paraId="2D2D132B" w14:textId="3935A934" w:rsidR="00694BE4" w:rsidRPr="009A079B" w:rsidRDefault="00694BE4" w:rsidP="00694BE4">
      <w:pPr>
        <w:pStyle w:val="Normal1"/>
        <w:spacing w:after="120"/>
        <w:ind w:left="288"/>
        <w:rPr>
          <w:rFonts w:ascii="Century Schoolbook" w:hAnsi="Century Schoolbook" w:cs="Times New Roman"/>
          <w:iCs/>
          <w:color w:val="auto"/>
          <w:sz w:val="22"/>
          <w:szCs w:val="22"/>
        </w:rPr>
      </w:pPr>
      <w:r w:rsidRPr="009A079B">
        <w:rPr>
          <w:rFonts w:ascii="Century Schoolbook" w:hAnsi="Century Schoolbook" w:cs="Times New Roman"/>
          <w:i/>
          <w:color w:val="auto"/>
          <w:sz w:val="22"/>
          <w:szCs w:val="22"/>
        </w:rPr>
        <w:t>Beyond the Headlines: Key SCOTUS Civil Rights Decisions from the 2022-23 Term</w:t>
      </w:r>
      <w:r w:rsidRPr="009A079B">
        <w:rPr>
          <w:rFonts w:ascii="Century Schoolbook" w:hAnsi="Century Schoolbook" w:cs="Times New Roman"/>
          <w:iCs/>
          <w:color w:val="auto"/>
          <w:sz w:val="22"/>
          <w:szCs w:val="22"/>
        </w:rPr>
        <w:t xml:space="preserve">, Federal Bar Association – virtual, July 12, </w:t>
      </w:r>
      <w:proofErr w:type="gramStart"/>
      <w:r w:rsidRPr="009A079B">
        <w:rPr>
          <w:rFonts w:ascii="Century Schoolbook" w:hAnsi="Century Schoolbook" w:cs="Times New Roman"/>
          <w:iCs/>
          <w:color w:val="auto"/>
          <w:sz w:val="22"/>
          <w:szCs w:val="22"/>
        </w:rPr>
        <w:t>2023</w:t>
      </w:r>
      <w:proofErr w:type="gramEnd"/>
      <w:r w:rsidR="00FE4608">
        <w:rPr>
          <w:rFonts w:ascii="Century Schoolbook" w:hAnsi="Century Schoolbook" w:cs="Times New Roman"/>
          <w:iCs/>
          <w:color w:val="auto"/>
          <w:sz w:val="22"/>
          <w:szCs w:val="22"/>
        </w:rPr>
        <w:t xml:space="preserve"> and July 24, 2024</w:t>
      </w:r>
    </w:p>
    <w:p w14:paraId="35451D68" w14:textId="77777777" w:rsidR="00694BE4" w:rsidRPr="009A079B" w:rsidRDefault="00694BE4" w:rsidP="00694BE4">
      <w:pPr>
        <w:pStyle w:val="Normal1"/>
        <w:spacing w:after="120"/>
        <w:ind w:left="288"/>
        <w:rPr>
          <w:rFonts w:ascii="Century Schoolbook" w:hAnsi="Century Schoolbook" w:cs="Times New Roman"/>
          <w:iCs/>
          <w:color w:val="auto"/>
          <w:sz w:val="22"/>
          <w:szCs w:val="22"/>
        </w:rPr>
      </w:pPr>
      <w:r w:rsidRPr="009A079B">
        <w:rPr>
          <w:rFonts w:ascii="Century Schoolbook" w:hAnsi="Century Schoolbook" w:cs="Times New Roman"/>
          <w:i/>
          <w:color w:val="auto"/>
          <w:sz w:val="22"/>
          <w:szCs w:val="22"/>
        </w:rPr>
        <w:t>Fair Housing Litigation in New Orleans</w:t>
      </w:r>
      <w:r w:rsidRPr="009A079B">
        <w:rPr>
          <w:rFonts w:ascii="Century Schoolbook" w:hAnsi="Century Schoolbook" w:cs="Times New Roman"/>
          <w:iCs/>
          <w:color w:val="auto"/>
          <w:sz w:val="22"/>
          <w:szCs w:val="22"/>
        </w:rPr>
        <w:t>, New Orleans Bar Association – New Orleans, LA, April 25, 2023</w:t>
      </w:r>
    </w:p>
    <w:p w14:paraId="3785EEE1" w14:textId="77777777" w:rsidR="00694BE4" w:rsidRPr="009A079B" w:rsidRDefault="00694BE4" w:rsidP="00694BE4">
      <w:pPr>
        <w:pStyle w:val="Normal1"/>
        <w:spacing w:after="120"/>
        <w:ind w:left="288"/>
        <w:rPr>
          <w:rFonts w:ascii="Century Schoolbook" w:hAnsi="Century Schoolbook" w:cs="Times New Roman"/>
          <w:iCs/>
          <w:color w:val="auto"/>
          <w:sz w:val="22"/>
          <w:szCs w:val="22"/>
        </w:rPr>
      </w:pPr>
      <w:r w:rsidRPr="009A079B">
        <w:rPr>
          <w:rFonts w:ascii="Century Schoolbook" w:hAnsi="Century Schoolbook" w:cs="Times New Roman"/>
          <w:i/>
          <w:color w:val="auto"/>
          <w:sz w:val="22"/>
          <w:szCs w:val="22"/>
        </w:rPr>
        <w:t>When Schools Call the Police on Kids with Disabilities</w:t>
      </w:r>
      <w:r w:rsidRPr="009A079B">
        <w:rPr>
          <w:rFonts w:ascii="Century Schoolbook" w:hAnsi="Century Schoolbook" w:cs="Times New Roman"/>
          <w:iCs/>
          <w:color w:val="auto"/>
          <w:sz w:val="22"/>
          <w:szCs w:val="22"/>
        </w:rPr>
        <w:t>, Tulane Research, Innovation, and Creativity Summit – New Orleans, LA, March 2, 2023</w:t>
      </w:r>
    </w:p>
    <w:p w14:paraId="282A0E3F" w14:textId="77777777" w:rsidR="00694BE4" w:rsidRPr="009A079B" w:rsidRDefault="00694BE4" w:rsidP="00694BE4">
      <w:pPr>
        <w:pStyle w:val="Normal1"/>
        <w:spacing w:after="120"/>
        <w:ind w:left="288"/>
        <w:rPr>
          <w:rFonts w:ascii="Century Schoolbook" w:hAnsi="Century Schoolbook" w:cs="Times New Roman"/>
          <w:iCs/>
          <w:color w:val="auto"/>
          <w:sz w:val="22"/>
          <w:szCs w:val="22"/>
        </w:rPr>
      </w:pPr>
      <w:bookmarkStart w:id="1" w:name="_Hlk128492038"/>
      <w:bookmarkEnd w:id="0"/>
      <w:r w:rsidRPr="009A079B">
        <w:rPr>
          <w:rFonts w:ascii="Century Schoolbook" w:hAnsi="Century Schoolbook" w:cs="Times New Roman"/>
          <w:i/>
          <w:color w:val="auto"/>
          <w:sz w:val="22"/>
          <w:szCs w:val="22"/>
        </w:rPr>
        <w:t>Civil Rights Cases and Law School Clinics</w:t>
      </w:r>
      <w:r w:rsidRPr="009A079B">
        <w:rPr>
          <w:rFonts w:ascii="Century Schoolbook" w:hAnsi="Century Schoolbook" w:cs="Times New Roman"/>
          <w:iCs/>
          <w:color w:val="auto"/>
          <w:sz w:val="22"/>
          <w:szCs w:val="22"/>
        </w:rPr>
        <w:t>, Henry P. Julien, II Law Scholars Program – New Orleans, LA, July 27, 2022</w:t>
      </w:r>
    </w:p>
    <w:bookmarkEnd w:id="1"/>
    <w:p w14:paraId="70715EED" w14:textId="77777777" w:rsidR="00694BE4" w:rsidRPr="009A079B" w:rsidRDefault="00694BE4" w:rsidP="00694BE4">
      <w:pPr>
        <w:pStyle w:val="Normal1"/>
        <w:spacing w:after="120"/>
        <w:ind w:left="288"/>
        <w:rPr>
          <w:rFonts w:ascii="Century Schoolbook" w:hAnsi="Century Schoolbook" w:cs="Times New Roman"/>
          <w:iCs/>
          <w:color w:val="auto"/>
          <w:sz w:val="22"/>
          <w:szCs w:val="22"/>
        </w:rPr>
      </w:pPr>
      <w:r w:rsidRPr="009A079B">
        <w:rPr>
          <w:rFonts w:ascii="Century Schoolbook" w:hAnsi="Century Schoolbook" w:cs="Times New Roman"/>
          <w:i/>
          <w:color w:val="auto"/>
          <w:sz w:val="22"/>
          <w:szCs w:val="22"/>
        </w:rPr>
        <w:t>Beyond the Headlines: Key SCOTUS Civil Rights Decisions from the 2021-22 Term</w:t>
      </w:r>
      <w:r w:rsidRPr="009A079B">
        <w:rPr>
          <w:rFonts w:ascii="Century Schoolbook" w:hAnsi="Century Schoolbook" w:cs="Times New Roman"/>
          <w:iCs/>
          <w:color w:val="auto"/>
          <w:sz w:val="22"/>
          <w:szCs w:val="22"/>
        </w:rPr>
        <w:t>, Federal Bar Association – virtual, July 13, 2022</w:t>
      </w:r>
    </w:p>
    <w:p w14:paraId="48539459" w14:textId="77777777" w:rsidR="00694BE4" w:rsidRPr="009A079B" w:rsidRDefault="00694BE4" w:rsidP="00694BE4">
      <w:pPr>
        <w:pStyle w:val="Normal1"/>
        <w:spacing w:after="120"/>
        <w:ind w:left="288"/>
        <w:rPr>
          <w:rFonts w:ascii="Century Schoolbook" w:hAnsi="Century Schoolbook" w:cs="Times New Roman"/>
          <w:color w:val="auto"/>
          <w:sz w:val="22"/>
          <w:szCs w:val="22"/>
        </w:rPr>
      </w:pPr>
      <w:r w:rsidRPr="009A079B">
        <w:rPr>
          <w:rFonts w:ascii="Century Schoolbook" w:hAnsi="Century Schoolbook" w:cs="Times New Roman"/>
          <w:i/>
          <w:color w:val="auto"/>
          <w:sz w:val="22"/>
          <w:szCs w:val="22"/>
        </w:rPr>
        <w:t>Section 1983: Qualified Immunity and Other Obstacles to Civil Rights Enforcement</w:t>
      </w:r>
      <w:r w:rsidRPr="009A079B">
        <w:rPr>
          <w:rFonts w:ascii="Century Schoolbook" w:hAnsi="Century Schoolbook" w:cs="Times New Roman"/>
          <w:color w:val="auto"/>
          <w:sz w:val="22"/>
          <w:szCs w:val="22"/>
        </w:rPr>
        <w:t>, American Association of Law Schools Clinical Conference – virtual, May 10, 2022</w:t>
      </w:r>
    </w:p>
    <w:p w14:paraId="496EE389" w14:textId="77777777" w:rsidR="00694BE4" w:rsidRPr="009A079B" w:rsidRDefault="00694BE4" w:rsidP="00694BE4">
      <w:pPr>
        <w:pStyle w:val="Normal1"/>
        <w:spacing w:after="120"/>
        <w:ind w:left="288"/>
        <w:rPr>
          <w:rFonts w:ascii="Century Schoolbook" w:hAnsi="Century Schoolbook" w:cs="Times New Roman"/>
          <w:i/>
          <w:color w:val="auto"/>
          <w:sz w:val="22"/>
          <w:szCs w:val="22"/>
        </w:rPr>
      </w:pPr>
      <w:r w:rsidRPr="009A079B">
        <w:rPr>
          <w:rFonts w:ascii="Century Schoolbook" w:hAnsi="Century Schoolbook" w:cs="Times New Roman"/>
          <w:i/>
          <w:color w:val="auto"/>
          <w:sz w:val="22"/>
          <w:szCs w:val="22"/>
        </w:rPr>
        <w:t>Works in Progress Group #7 Housing</w:t>
      </w:r>
      <w:r w:rsidRPr="009A079B">
        <w:rPr>
          <w:rFonts w:ascii="Century Schoolbook" w:hAnsi="Century Schoolbook" w:cs="Times New Roman"/>
          <w:color w:val="auto"/>
          <w:sz w:val="22"/>
          <w:szCs w:val="22"/>
        </w:rPr>
        <w:t>, American Association of Law Schools Clinical Conference – virtual, May 12, 2022</w:t>
      </w:r>
    </w:p>
    <w:p w14:paraId="3E1BEA5E" w14:textId="77777777" w:rsidR="00694BE4" w:rsidRPr="009A079B" w:rsidRDefault="00694BE4" w:rsidP="00694BE4">
      <w:pPr>
        <w:pStyle w:val="Normal1"/>
        <w:spacing w:after="120" w:line="240" w:lineRule="auto"/>
        <w:ind w:left="288"/>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 xml:space="preserve">Moderator, </w:t>
      </w:r>
      <w:r w:rsidRPr="009A079B">
        <w:rPr>
          <w:rFonts w:ascii="Century Schoolbook" w:hAnsi="Century Schoolbook" w:cs="Times New Roman"/>
          <w:i/>
          <w:color w:val="auto"/>
          <w:sz w:val="22"/>
          <w:szCs w:val="22"/>
        </w:rPr>
        <w:t>Displacing Humans: Criminal Law Enforcement, Education, Digital Gaming, and Automation of the Legal Profession</w:t>
      </w:r>
      <w:r w:rsidRPr="009A079B">
        <w:rPr>
          <w:rFonts w:ascii="Century Schoolbook" w:hAnsi="Century Schoolbook" w:cs="Times New Roman"/>
          <w:color w:val="auto"/>
          <w:sz w:val="22"/>
          <w:szCs w:val="22"/>
        </w:rPr>
        <w:t>, 2019 Gordon Gamm Comparative Law and Justice Symposium: The Implications of Artificial Intelligence for a Just Society – New Orleans, Louisiana, November 8, 2019</w:t>
      </w:r>
    </w:p>
    <w:p w14:paraId="4FFAEBB1" w14:textId="77777777" w:rsidR="00694BE4" w:rsidRPr="009A079B" w:rsidRDefault="00694BE4" w:rsidP="00694BE4">
      <w:pPr>
        <w:pStyle w:val="Normal1"/>
        <w:spacing w:after="120" w:line="240" w:lineRule="auto"/>
        <w:ind w:left="288"/>
        <w:rPr>
          <w:rFonts w:ascii="Century Schoolbook" w:hAnsi="Century Schoolbook" w:cs="Times New Roman"/>
          <w:color w:val="auto"/>
          <w:sz w:val="22"/>
          <w:szCs w:val="22"/>
        </w:rPr>
      </w:pPr>
      <w:r w:rsidRPr="009A079B">
        <w:rPr>
          <w:rFonts w:ascii="Century Schoolbook" w:hAnsi="Century Schoolbook" w:cs="Times New Roman"/>
          <w:i/>
          <w:color w:val="auto"/>
          <w:sz w:val="22"/>
          <w:szCs w:val="22"/>
        </w:rPr>
        <w:lastRenderedPageBreak/>
        <w:t>Algorithm and Blues: Big Data, Artificial Intelligence, and the End of Civil Rights</w:t>
      </w:r>
      <w:r w:rsidRPr="009A079B">
        <w:rPr>
          <w:rFonts w:ascii="Century Schoolbook" w:hAnsi="Century Schoolbook" w:cs="Times New Roman"/>
          <w:color w:val="auto"/>
          <w:sz w:val="22"/>
          <w:szCs w:val="22"/>
        </w:rPr>
        <w:t>, Junior/Senior Faculty Conference – New Orleans, Louisiana, November 1-2, 2019</w:t>
      </w:r>
    </w:p>
    <w:p w14:paraId="6830D371" w14:textId="77777777" w:rsidR="00694BE4" w:rsidRPr="009A079B" w:rsidRDefault="00694BE4" w:rsidP="00694BE4">
      <w:pPr>
        <w:pStyle w:val="Normal1"/>
        <w:spacing w:after="120"/>
        <w:ind w:left="288"/>
        <w:rPr>
          <w:rFonts w:ascii="Century Schoolbook" w:hAnsi="Century Schoolbook" w:cs="Times New Roman"/>
          <w:color w:val="auto"/>
          <w:sz w:val="22"/>
          <w:szCs w:val="22"/>
        </w:rPr>
      </w:pPr>
      <w:r w:rsidRPr="009A079B">
        <w:rPr>
          <w:rFonts w:ascii="Century Schoolbook" w:hAnsi="Century Schoolbook" w:cs="Times New Roman"/>
          <w:i/>
          <w:color w:val="auto"/>
          <w:sz w:val="22"/>
          <w:szCs w:val="22"/>
        </w:rPr>
        <w:t>Engaging with the Media: Priorities &amp; Pitfalls among Clinical Practice Fields</w:t>
      </w:r>
      <w:r w:rsidRPr="009A079B">
        <w:rPr>
          <w:rFonts w:ascii="Century Schoolbook" w:hAnsi="Century Schoolbook" w:cs="Times New Roman"/>
          <w:color w:val="auto"/>
          <w:sz w:val="22"/>
          <w:szCs w:val="22"/>
        </w:rPr>
        <w:t xml:space="preserve">; and WIP discussant: </w:t>
      </w:r>
      <w:r w:rsidRPr="009A079B">
        <w:rPr>
          <w:rFonts w:ascii="Century Schoolbook" w:hAnsi="Century Schoolbook" w:cs="Times New Roman"/>
          <w:i/>
          <w:color w:val="auto"/>
          <w:sz w:val="22"/>
          <w:szCs w:val="22"/>
        </w:rPr>
        <w:t xml:space="preserve">Unleashing Section 504’s Hidden Powers to Protect Students with Disabilities </w:t>
      </w:r>
      <w:r w:rsidRPr="009A079B">
        <w:rPr>
          <w:rFonts w:ascii="Century Schoolbook" w:hAnsi="Century Schoolbook" w:cs="Times New Roman"/>
          <w:color w:val="auto"/>
          <w:sz w:val="22"/>
          <w:szCs w:val="22"/>
        </w:rPr>
        <w:t>by Claire Raj, University of South Carolina School of Law; Southern Clinical Conference – New Orleans, Louisiana, October 11-12, 2019</w:t>
      </w:r>
    </w:p>
    <w:p w14:paraId="321571AB" w14:textId="77777777" w:rsidR="00A47CF2" w:rsidRPr="009A079B" w:rsidRDefault="00694BE4" w:rsidP="00A47CF2">
      <w:pPr>
        <w:pStyle w:val="Normal1"/>
        <w:spacing w:after="120" w:line="240" w:lineRule="auto"/>
        <w:ind w:left="288"/>
        <w:rPr>
          <w:rFonts w:ascii="Century Schoolbook" w:hAnsi="Century Schoolbook" w:cs="Times New Roman"/>
          <w:color w:val="auto"/>
          <w:sz w:val="22"/>
          <w:szCs w:val="22"/>
        </w:rPr>
      </w:pPr>
      <w:r w:rsidRPr="009A079B">
        <w:rPr>
          <w:rFonts w:ascii="Century Schoolbook" w:hAnsi="Century Schoolbook" w:cs="Times New Roman"/>
          <w:i/>
          <w:color w:val="auto"/>
          <w:sz w:val="22"/>
          <w:szCs w:val="22"/>
        </w:rPr>
        <w:t>Health, Disabilities, and Veterans Law</w:t>
      </w:r>
      <w:r w:rsidRPr="009A079B">
        <w:rPr>
          <w:rFonts w:ascii="Century Schoolbook" w:hAnsi="Century Schoolbook" w:cs="Times New Roman"/>
          <w:color w:val="auto"/>
          <w:sz w:val="22"/>
          <w:szCs w:val="22"/>
        </w:rPr>
        <w:t xml:space="preserve">, </w:t>
      </w:r>
      <w:r w:rsidRPr="009A079B">
        <w:rPr>
          <w:rFonts w:ascii="Century Schoolbook" w:hAnsi="Century Schoolbook" w:cs="Times New Roman"/>
          <w:i/>
          <w:color w:val="auto"/>
          <w:sz w:val="22"/>
          <w:szCs w:val="22"/>
        </w:rPr>
        <w:t>Clinical Law Review</w:t>
      </w:r>
      <w:r w:rsidRPr="009A079B">
        <w:rPr>
          <w:rFonts w:ascii="Century Schoolbook" w:hAnsi="Century Schoolbook" w:cs="Times New Roman"/>
          <w:color w:val="auto"/>
          <w:sz w:val="22"/>
          <w:szCs w:val="22"/>
        </w:rPr>
        <w:t xml:space="preserve"> Writers’ Workshop, New York University School of Law – New York, New York, September 21, 2019</w:t>
      </w:r>
    </w:p>
    <w:p w14:paraId="2CE9FE41" w14:textId="60016F3D" w:rsidR="00694BE4" w:rsidRPr="009A079B" w:rsidRDefault="00694BE4" w:rsidP="00A47CF2">
      <w:pPr>
        <w:pStyle w:val="Normal1"/>
        <w:spacing w:after="120" w:line="240" w:lineRule="auto"/>
        <w:ind w:left="288"/>
        <w:rPr>
          <w:rFonts w:ascii="Century Schoolbook" w:hAnsi="Century Schoolbook" w:cs="Times New Roman"/>
          <w:color w:val="auto"/>
          <w:sz w:val="22"/>
          <w:szCs w:val="22"/>
        </w:rPr>
      </w:pPr>
      <w:r w:rsidRPr="009A079B">
        <w:rPr>
          <w:rFonts w:ascii="Century Schoolbook" w:hAnsi="Century Schoolbook" w:cs="Times New Roman"/>
          <w:i/>
          <w:color w:val="auto"/>
          <w:sz w:val="22"/>
          <w:szCs w:val="22"/>
        </w:rPr>
        <w:t>Artificial Intelligence: Implications for the Civil Rights of People with Disabilities</w:t>
      </w:r>
      <w:r w:rsidRPr="009A079B">
        <w:rPr>
          <w:rFonts w:ascii="Century Schoolbook" w:hAnsi="Century Schoolbook" w:cs="Times New Roman"/>
          <w:color w:val="auto"/>
          <w:sz w:val="22"/>
          <w:szCs w:val="22"/>
        </w:rPr>
        <w:t>,</w:t>
      </w:r>
      <w:r w:rsidRPr="009A079B">
        <w:rPr>
          <w:rFonts w:ascii="Century Schoolbook" w:hAnsi="Century Schoolbook" w:cs="Times New Roman"/>
          <w:i/>
          <w:color w:val="auto"/>
          <w:sz w:val="22"/>
          <w:szCs w:val="22"/>
        </w:rPr>
        <w:t xml:space="preserve"> </w:t>
      </w:r>
      <w:r w:rsidRPr="009A079B">
        <w:rPr>
          <w:rFonts w:ascii="Century Schoolbook" w:hAnsi="Century Schoolbook" w:cs="Times New Roman"/>
          <w:color w:val="auto"/>
          <w:sz w:val="22"/>
          <w:szCs w:val="22"/>
        </w:rPr>
        <w:t>New Scholars Workshop: Immigration and Civil Rights, Southeastern Association of Law Schools – Boca Raton, Florida, July 31, 2019</w:t>
      </w:r>
    </w:p>
    <w:p w14:paraId="27CBD417" w14:textId="77777777" w:rsidR="00694BE4" w:rsidRPr="009A079B" w:rsidRDefault="00694BE4" w:rsidP="00694BE4">
      <w:pPr>
        <w:pStyle w:val="Normal1"/>
        <w:spacing w:after="120" w:line="240" w:lineRule="auto"/>
        <w:ind w:left="288"/>
        <w:rPr>
          <w:rFonts w:ascii="Century Schoolbook" w:hAnsi="Century Schoolbook" w:cs="Times New Roman"/>
          <w:color w:val="auto"/>
          <w:sz w:val="22"/>
          <w:szCs w:val="22"/>
        </w:rPr>
      </w:pPr>
      <w:r w:rsidRPr="009A079B">
        <w:rPr>
          <w:rFonts w:ascii="Century Schoolbook" w:hAnsi="Century Schoolbook" w:cs="Times New Roman"/>
          <w:i/>
          <w:color w:val="auto"/>
          <w:sz w:val="22"/>
          <w:szCs w:val="22"/>
        </w:rPr>
        <w:t>Overspecialized and Underprepared</w:t>
      </w:r>
      <w:r w:rsidRPr="009A079B">
        <w:rPr>
          <w:rFonts w:ascii="Century Schoolbook" w:hAnsi="Century Schoolbook" w:cs="Times New Roman"/>
          <w:color w:val="auto"/>
          <w:sz w:val="22"/>
          <w:szCs w:val="22"/>
        </w:rPr>
        <w:t>, American Association of Law Schools Clinical Conference – San Francisco, California, May 5, 2019</w:t>
      </w:r>
    </w:p>
    <w:p w14:paraId="691F7E97" w14:textId="77777777" w:rsidR="00694BE4" w:rsidRPr="009A079B" w:rsidRDefault="00694BE4" w:rsidP="00694BE4">
      <w:pPr>
        <w:pStyle w:val="Normal1"/>
        <w:spacing w:before="240" w:after="40"/>
        <w:rPr>
          <w:rFonts w:ascii="Century Schoolbook" w:hAnsi="Century Schoolbook" w:cs="Times New Roman"/>
          <w:color w:val="auto"/>
          <w:sz w:val="22"/>
          <w:szCs w:val="22"/>
        </w:rPr>
      </w:pPr>
      <w:r w:rsidRPr="009A079B">
        <w:rPr>
          <w:rFonts w:ascii="Century Schoolbook" w:hAnsi="Century Schoolbook" w:cs="Times New Roman"/>
          <w:smallCaps/>
          <w:color w:val="auto"/>
          <w:sz w:val="22"/>
          <w:szCs w:val="22"/>
        </w:rPr>
        <w:t>Award</w:t>
      </w:r>
    </w:p>
    <w:p w14:paraId="784865EE" w14:textId="77777777" w:rsidR="00694BE4" w:rsidRPr="009A079B" w:rsidRDefault="00694BE4" w:rsidP="00694BE4">
      <w:pPr>
        <w:pStyle w:val="Normal1"/>
        <w:tabs>
          <w:tab w:val="left" w:pos="7560"/>
        </w:tabs>
        <w:ind w:left="27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Skadden Foundation Writing Stipend (2019)</w:t>
      </w:r>
    </w:p>
    <w:p w14:paraId="60E91646" w14:textId="77777777" w:rsidR="00694BE4" w:rsidRPr="009A079B" w:rsidRDefault="00694BE4" w:rsidP="00694BE4">
      <w:pPr>
        <w:pStyle w:val="Normal1"/>
        <w:spacing w:before="240" w:after="40"/>
        <w:rPr>
          <w:rFonts w:ascii="Century Schoolbook" w:hAnsi="Century Schoolbook" w:cs="Times New Roman"/>
          <w:color w:val="auto"/>
          <w:sz w:val="22"/>
          <w:szCs w:val="22"/>
        </w:rPr>
      </w:pPr>
      <w:r w:rsidRPr="009A079B">
        <w:rPr>
          <w:rFonts w:ascii="Century Schoolbook" w:hAnsi="Century Schoolbook" w:cs="Times New Roman"/>
          <w:smallCaps/>
          <w:color w:val="auto"/>
          <w:sz w:val="22"/>
          <w:szCs w:val="22"/>
        </w:rPr>
        <w:t>Current Community Engagement</w:t>
      </w:r>
    </w:p>
    <w:p w14:paraId="69086FF1" w14:textId="77777777" w:rsidR="00694BE4" w:rsidRPr="009A079B" w:rsidRDefault="00694BE4" w:rsidP="00694BE4">
      <w:pPr>
        <w:pStyle w:val="Normal1"/>
        <w:tabs>
          <w:tab w:val="left" w:pos="7560"/>
        </w:tabs>
        <w:ind w:left="27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Board Member, Capoeira &amp; Brazilian Cultural Arts Center, Inc.</w:t>
      </w:r>
    </w:p>
    <w:p w14:paraId="03BB5BB4" w14:textId="77777777" w:rsidR="00694BE4" w:rsidRPr="009A079B" w:rsidRDefault="00694BE4" w:rsidP="00694BE4">
      <w:pPr>
        <w:pStyle w:val="Normal1"/>
        <w:tabs>
          <w:tab w:val="left" w:pos="7560"/>
        </w:tabs>
        <w:ind w:left="27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Organist, Salem Church</w:t>
      </w:r>
    </w:p>
    <w:p w14:paraId="45B9B220" w14:textId="77777777" w:rsidR="00694BE4" w:rsidRPr="009A079B" w:rsidRDefault="00694BE4" w:rsidP="00694BE4">
      <w:pPr>
        <w:pStyle w:val="Normal1"/>
        <w:spacing w:before="240" w:after="40"/>
        <w:rPr>
          <w:rFonts w:ascii="Century Schoolbook" w:hAnsi="Century Schoolbook" w:cs="Times New Roman"/>
          <w:color w:val="auto"/>
          <w:sz w:val="22"/>
          <w:szCs w:val="22"/>
        </w:rPr>
      </w:pPr>
      <w:r w:rsidRPr="009A079B">
        <w:rPr>
          <w:rFonts w:ascii="Century Schoolbook" w:hAnsi="Century Schoolbook" w:cs="Times New Roman"/>
          <w:smallCaps/>
          <w:color w:val="auto"/>
          <w:sz w:val="22"/>
          <w:szCs w:val="22"/>
        </w:rPr>
        <w:t>Past Volunteer and Other Experience</w:t>
      </w:r>
    </w:p>
    <w:p w14:paraId="6D53FFC5" w14:textId="77777777" w:rsidR="00FE4608" w:rsidRPr="009A079B" w:rsidRDefault="00FE4608" w:rsidP="00FE4608">
      <w:pPr>
        <w:pStyle w:val="Normal1"/>
        <w:tabs>
          <w:tab w:val="left" w:pos="7560"/>
        </w:tabs>
        <w:ind w:left="27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 xml:space="preserve">America Reads Program, New Haven, CT: </w:t>
      </w:r>
      <w:r w:rsidRPr="009A079B">
        <w:rPr>
          <w:rFonts w:ascii="Century Schoolbook" w:hAnsi="Century Schoolbook" w:cs="Times New Roman"/>
          <w:i/>
          <w:iCs/>
          <w:color w:val="auto"/>
          <w:sz w:val="22"/>
          <w:szCs w:val="22"/>
        </w:rPr>
        <w:t>Tutor</w:t>
      </w:r>
      <w:r w:rsidRPr="009A079B">
        <w:rPr>
          <w:rFonts w:ascii="Century Schoolbook" w:hAnsi="Century Schoolbook" w:cs="Times New Roman"/>
          <w:color w:val="auto"/>
          <w:sz w:val="22"/>
          <w:szCs w:val="22"/>
        </w:rPr>
        <w:t xml:space="preserve"> and </w:t>
      </w:r>
      <w:r w:rsidRPr="009A079B">
        <w:rPr>
          <w:rFonts w:ascii="Century Schoolbook" w:hAnsi="Century Schoolbook" w:cs="Times New Roman"/>
          <w:i/>
          <w:iCs/>
          <w:color w:val="auto"/>
          <w:sz w:val="22"/>
          <w:szCs w:val="22"/>
        </w:rPr>
        <w:t>Supervisor</w:t>
      </w:r>
      <w:r w:rsidRPr="009A079B">
        <w:rPr>
          <w:rFonts w:ascii="Century Schoolbook" w:hAnsi="Century Schoolbook" w:cs="Times New Roman"/>
          <w:color w:val="auto"/>
          <w:sz w:val="22"/>
          <w:szCs w:val="22"/>
        </w:rPr>
        <w:t xml:space="preserve"> (1999-2001).</w:t>
      </w:r>
    </w:p>
    <w:p w14:paraId="19439528" w14:textId="77777777" w:rsidR="00A47CF2" w:rsidRPr="009A079B" w:rsidRDefault="00A47CF2" w:rsidP="00694BE4">
      <w:pPr>
        <w:pStyle w:val="Normal1"/>
        <w:tabs>
          <w:tab w:val="left" w:pos="7560"/>
        </w:tabs>
        <w:ind w:left="27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 xml:space="preserve">Town Green Special Services, New Haven, CT: </w:t>
      </w:r>
      <w:r w:rsidRPr="009A079B">
        <w:rPr>
          <w:rFonts w:ascii="Century Schoolbook" w:hAnsi="Century Schoolbook" w:cs="Times New Roman"/>
          <w:i/>
          <w:iCs/>
          <w:color w:val="auto"/>
          <w:sz w:val="22"/>
          <w:szCs w:val="22"/>
        </w:rPr>
        <w:t>Project Manager</w:t>
      </w:r>
      <w:r w:rsidRPr="009A079B">
        <w:rPr>
          <w:rFonts w:ascii="Century Schoolbook" w:hAnsi="Century Schoolbook" w:cs="Times New Roman"/>
          <w:color w:val="auto"/>
          <w:sz w:val="22"/>
          <w:szCs w:val="22"/>
        </w:rPr>
        <w:t xml:space="preserve"> (2001-2002).</w:t>
      </w:r>
    </w:p>
    <w:p w14:paraId="0552389C" w14:textId="07511A15" w:rsidR="00A47CF2" w:rsidRPr="009A079B" w:rsidRDefault="00A47CF2" w:rsidP="00694BE4">
      <w:pPr>
        <w:pStyle w:val="Normal1"/>
        <w:tabs>
          <w:tab w:val="left" w:pos="7560"/>
        </w:tabs>
        <w:ind w:left="27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 xml:space="preserve">Louisiana Philharmonic Orchestra, New Orleans: </w:t>
      </w:r>
      <w:r w:rsidRPr="009A079B">
        <w:rPr>
          <w:rFonts w:ascii="Century Schoolbook" w:hAnsi="Century Schoolbook" w:cs="Times New Roman"/>
          <w:i/>
          <w:iCs/>
          <w:color w:val="auto"/>
          <w:sz w:val="22"/>
          <w:szCs w:val="22"/>
        </w:rPr>
        <w:t>Development Associate</w:t>
      </w:r>
      <w:r w:rsidRPr="009A079B">
        <w:rPr>
          <w:rFonts w:ascii="Century Schoolbook" w:hAnsi="Century Schoolbook" w:cs="Times New Roman"/>
          <w:color w:val="auto"/>
          <w:sz w:val="22"/>
          <w:szCs w:val="22"/>
        </w:rPr>
        <w:t xml:space="preserve"> (2003-2004). </w:t>
      </w:r>
      <w:r w:rsidR="00694BE4" w:rsidRPr="009A079B">
        <w:rPr>
          <w:rFonts w:ascii="Century Schoolbook" w:hAnsi="Century Schoolbook" w:cs="Times New Roman"/>
          <w:color w:val="auto"/>
          <w:sz w:val="22"/>
          <w:szCs w:val="22"/>
        </w:rPr>
        <w:t>Academy of the Sacred Heart, New Orleans</w:t>
      </w:r>
      <w:r w:rsidRPr="009A079B">
        <w:rPr>
          <w:rFonts w:ascii="Century Schoolbook" w:hAnsi="Century Schoolbook" w:cs="Times New Roman"/>
          <w:color w:val="auto"/>
          <w:sz w:val="22"/>
          <w:szCs w:val="22"/>
        </w:rPr>
        <w:t xml:space="preserve">: </w:t>
      </w:r>
      <w:r w:rsidRPr="009A079B">
        <w:rPr>
          <w:rFonts w:ascii="Century Schoolbook" w:hAnsi="Century Schoolbook" w:cs="Times New Roman"/>
          <w:i/>
          <w:iCs/>
          <w:color w:val="auto"/>
          <w:sz w:val="22"/>
          <w:szCs w:val="22"/>
        </w:rPr>
        <w:t>English Teacher</w:t>
      </w:r>
      <w:r w:rsidRPr="009A079B">
        <w:rPr>
          <w:rFonts w:ascii="Century Schoolbook" w:hAnsi="Century Schoolbook" w:cs="Times New Roman"/>
          <w:color w:val="auto"/>
          <w:sz w:val="22"/>
          <w:szCs w:val="22"/>
        </w:rPr>
        <w:t xml:space="preserve"> and </w:t>
      </w:r>
      <w:r w:rsidRPr="009A079B">
        <w:rPr>
          <w:rFonts w:ascii="Century Schoolbook" w:hAnsi="Century Schoolbook" w:cs="Times New Roman"/>
          <w:i/>
          <w:iCs/>
          <w:color w:val="auto"/>
          <w:sz w:val="22"/>
          <w:szCs w:val="22"/>
        </w:rPr>
        <w:t>Theater Program Director</w:t>
      </w:r>
      <w:r w:rsidR="00694BE4" w:rsidRPr="009A079B">
        <w:rPr>
          <w:rFonts w:ascii="Century Schoolbook" w:hAnsi="Century Schoolbook" w:cs="Times New Roman"/>
          <w:color w:val="auto"/>
          <w:sz w:val="22"/>
          <w:szCs w:val="22"/>
        </w:rPr>
        <w:t xml:space="preserve"> (2004-2007)</w:t>
      </w:r>
      <w:r w:rsidRPr="009A079B">
        <w:rPr>
          <w:rFonts w:ascii="Century Schoolbook" w:hAnsi="Century Schoolbook" w:cs="Times New Roman"/>
          <w:color w:val="auto"/>
          <w:sz w:val="22"/>
          <w:szCs w:val="22"/>
        </w:rPr>
        <w:t>.</w:t>
      </w:r>
    </w:p>
    <w:p w14:paraId="76D8CF26" w14:textId="1FFE9C16" w:rsidR="00A47CF2" w:rsidRPr="009A079B" w:rsidRDefault="00694BE4" w:rsidP="00694BE4">
      <w:pPr>
        <w:pStyle w:val="Normal1"/>
        <w:tabs>
          <w:tab w:val="left" w:pos="7560"/>
        </w:tabs>
        <w:ind w:left="27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Alliance for Affordable Energy, New Orlean</w:t>
      </w:r>
      <w:r w:rsidR="00A47CF2" w:rsidRPr="009A079B">
        <w:rPr>
          <w:rFonts w:ascii="Century Schoolbook" w:hAnsi="Century Schoolbook" w:cs="Times New Roman"/>
          <w:color w:val="auto"/>
          <w:sz w:val="22"/>
          <w:szCs w:val="22"/>
        </w:rPr>
        <w:t xml:space="preserve">s: </w:t>
      </w:r>
      <w:r w:rsidR="00A47CF2" w:rsidRPr="009A079B">
        <w:rPr>
          <w:rFonts w:ascii="Century Schoolbook" w:hAnsi="Century Schoolbook" w:cs="Times New Roman"/>
          <w:i/>
          <w:iCs/>
          <w:color w:val="auto"/>
          <w:sz w:val="22"/>
          <w:szCs w:val="22"/>
        </w:rPr>
        <w:t>Volunteer</w:t>
      </w:r>
      <w:r w:rsidR="00A47CF2" w:rsidRPr="009A079B">
        <w:rPr>
          <w:rFonts w:ascii="Century Schoolbook" w:hAnsi="Century Schoolbook" w:cs="Times New Roman"/>
          <w:color w:val="auto"/>
          <w:sz w:val="22"/>
          <w:szCs w:val="22"/>
        </w:rPr>
        <w:t>.</w:t>
      </w:r>
    </w:p>
    <w:p w14:paraId="3EBBAE6B" w14:textId="70D7EFAF" w:rsidR="00A47CF2" w:rsidRPr="009A079B" w:rsidRDefault="00694BE4" w:rsidP="00694BE4">
      <w:pPr>
        <w:pStyle w:val="Normal1"/>
        <w:tabs>
          <w:tab w:val="left" w:pos="7560"/>
        </w:tabs>
        <w:ind w:left="27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Court-Appointed Special Advocates, New Orleans</w:t>
      </w:r>
      <w:r w:rsidR="00A47CF2" w:rsidRPr="009A079B">
        <w:rPr>
          <w:rFonts w:ascii="Century Schoolbook" w:hAnsi="Century Schoolbook" w:cs="Times New Roman"/>
          <w:color w:val="auto"/>
          <w:sz w:val="22"/>
          <w:szCs w:val="22"/>
        </w:rPr>
        <w:t xml:space="preserve">: </w:t>
      </w:r>
      <w:r w:rsidR="00A47CF2" w:rsidRPr="009A079B">
        <w:rPr>
          <w:rFonts w:ascii="Century Schoolbook" w:hAnsi="Century Schoolbook" w:cs="Times New Roman"/>
          <w:i/>
          <w:iCs/>
          <w:color w:val="auto"/>
          <w:sz w:val="22"/>
          <w:szCs w:val="22"/>
        </w:rPr>
        <w:t>Volunteer</w:t>
      </w:r>
      <w:r w:rsidR="00A47CF2" w:rsidRPr="009A079B">
        <w:rPr>
          <w:rFonts w:ascii="Century Schoolbook" w:hAnsi="Century Schoolbook" w:cs="Times New Roman"/>
          <w:color w:val="auto"/>
          <w:sz w:val="22"/>
          <w:szCs w:val="22"/>
        </w:rPr>
        <w:t>.</w:t>
      </w:r>
    </w:p>
    <w:p w14:paraId="5B19B85D" w14:textId="47560E49" w:rsidR="00A47CF2" w:rsidRPr="009A079B" w:rsidRDefault="00A47CF2" w:rsidP="00694BE4">
      <w:pPr>
        <w:pStyle w:val="Normal1"/>
        <w:tabs>
          <w:tab w:val="left" w:pos="7560"/>
        </w:tabs>
        <w:ind w:left="27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Campaign to Elect Barack Obama</w:t>
      </w:r>
      <w:r w:rsidR="009A079B" w:rsidRPr="009A079B">
        <w:rPr>
          <w:rFonts w:ascii="Century Schoolbook" w:hAnsi="Century Schoolbook" w:cs="Times New Roman"/>
          <w:color w:val="auto"/>
          <w:sz w:val="22"/>
          <w:szCs w:val="22"/>
        </w:rPr>
        <w:t xml:space="preserve">, Kansas City: </w:t>
      </w:r>
      <w:r w:rsidR="009A079B" w:rsidRPr="009A079B">
        <w:rPr>
          <w:rFonts w:ascii="Century Schoolbook" w:hAnsi="Century Schoolbook" w:cs="Times New Roman"/>
          <w:i/>
          <w:iCs/>
          <w:color w:val="auto"/>
          <w:sz w:val="22"/>
          <w:szCs w:val="22"/>
        </w:rPr>
        <w:t>Out-of-state Volunteer Coordinator</w:t>
      </w:r>
      <w:r w:rsidR="009A079B" w:rsidRPr="009A079B">
        <w:rPr>
          <w:rFonts w:ascii="Century Schoolbook" w:hAnsi="Century Schoolbook" w:cs="Times New Roman"/>
          <w:color w:val="auto"/>
          <w:sz w:val="22"/>
          <w:szCs w:val="22"/>
        </w:rPr>
        <w:t>.</w:t>
      </w:r>
    </w:p>
    <w:p w14:paraId="6048023D" w14:textId="595908EC" w:rsidR="00CA6127" w:rsidRPr="009A079B" w:rsidRDefault="00694BE4" w:rsidP="00F126D4">
      <w:pPr>
        <w:pStyle w:val="Normal1"/>
        <w:tabs>
          <w:tab w:val="left" w:pos="7560"/>
        </w:tabs>
        <w:ind w:left="270"/>
        <w:rPr>
          <w:rFonts w:ascii="Century Schoolbook" w:hAnsi="Century Schoolbook" w:cs="Times New Roman"/>
          <w:color w:val="auto"/>
          <w:sz w:val="22"/>
          <w:szCs w:val="22"/>
        </w:rPr>
      </w:pPr>
      <w:r w:rsidRPr="009A079B">
        <w:rPr>
          <w:rFonts w:ascii="Century Schoolbook" w:hAnsi="Century Schoolbook" w:cs="Times New Roman"/>
          <w:color w:val="auto"/>
          <w:sz w:val="22"/>
          <w:szCs w:val="22"/>
        </w:rPr>
        <w:t>Start the Adventure in Reading (STAIR), New Orleans</w:t>
      </w:r>
      <w:r w:rsidR="00A47CF2" w:rsidRPr="009A079B">
        <w:rPr>
          <w:rFonts w:ascii="Century Schoolbook" w:hAnsi="Century Schoolbook" w:cs="Times New Roman"/>
          <w:color w:val="auto"/>
          <w:sz w:val="22"/>
          <w:szCs w:val="22"/>
        </w:rPr>
        <w:t xml:space="preserve">: </w:t>
      </w:r>
      <w:r w:rsidR="00A47CF2" w:rsidRPr="009A079B">
        <w:rPr>
          <w:rFonts w:ascii="Century Schoolbook" w:hAnsi="Century Schoolbook" w:cs="Times New Roman"/>
          <w:i/>
          <w:iCs/>
          <w:color w:val="auto"/>
          <w:sz w:val="22"/>
          <w:szCs w:val="22"/>
        </w:rPr>
        <w:t>Volunteer</w:t>
      </w:r>
      <w:r w:rsidR="00A47CF2" w:rsidRPr="009A079B">
        <w:rPr>
          <w:rFonts w:ascii="Century Schoolbook" w:hAnsi="Century Schoolbook" w:cs="Times New Roman"/>
          <w:color w:val="auto"/>
          <w:sz w:val="22"/>
          <w:szCs w:val="22"/>
        </w:rPr>
        <w:t xml:space="preserve"> and </w:t>
      </w:r>
      <w:r w:rsidR="00A47CF2" w:rsidRPr="009A079B">
        <w:rPr>
          <w:rFonts w:ascii="Century Schoolbook" w:hAnsi="Century Schoolbook" w:cs="Times New Roman"/>
          <w:i/>
          <w:iCs/>
          <w:color w:val="auto"/>
          <w:sz w:val="22"/>
          <w:szCs w:val="22"/>
        </w:rPr>
        <w:t>Site Manager</w:t>
      </w:r>
      <w:r w:rsidR="00A47CF2" w:rsidRPr="009A079B">
        <w:rPr>
          <w:rFonts w:ascii="Century Schoolbook" w:hAnsi="Century Schoolbook" w:cs="Times New Roman"/>
          <w:color w:val="auto"/>
          <w:sz w:val="22"/>
          <w:szCs w:val="22"/>
        </w:rPr>
        <w:t>.</w:t>
      </w:r>
    </w:p>
    <w:sectPr w:rsidR="00CA6127" w:rsidRPr="009A079B" w:rsidSect="00303CD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4F0E8" w14:textId="77777777" w:rsidR="00E81920" w:rsidRDefault="00E81920">
      <w:pPr>
        <w:spacing w:line="240" w:lineRule="auto"/>
      </w:pPr>
      <w:r>
        <w:separator/>
      </w:r>
    </w:p>
  </w:endnote>
  <w:endnote w:type="continuationSeparator" w:id="0">
    <w:p w14:paraId="0BD1AF73" w14:textId="77777777" w:rsidR="00E81920" w:rsidRDefault="00E819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0BA78" w14:textId="77777777" w:rsidR="00CA6127" w:rsidRDefault="00CA6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B3C0" w14:textId="77777777" w:rsidR="00CA6127" w:rsidRDefault="00CA6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982A" w14:textId="77777777" w:rsidR="00CA6127" w:rsidRDefault="00CA6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E70AD" w14:textId="77777777" w:rsidR="00E81920" w:rsidRDefault="00E81920">
      <w:pPr>
        <w:spacing w:line="240" w:lineRule="auto"/>
      </w:pPr>
      <w:r>
        <w:separator/>
      </w:r>
    </w:p>
  </w:footnote>
  <w:footnote w:type="continuationSeparator" w:id="0">
    <w:p w14:paraId="30374BAD" w14:textId="77777777" w:rsidR="00E81920" w:rsidRDefault="00E819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EF7E" w14:textId="77777777" w:rsidR="00CA6127" w:rsidRDefault="00CA6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7BB2" w14:textId="77777777" w:rsidR="00CA6127" w:rsidRDefault="00CA6127">
    <w:pPr>
      <w:pStyle w:val="Normal1"/>
      <w:keepNext/>
      <w:keepLines/>
      <w:tabs>
        <w:tab w:val="left" w:pos="8640"/>
      </w:tabs>
      <w:spacing w:before="720"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B52A3" w14:textId="77777777" w:rsidR="00CA6127" w:rsidRDefault="00CA6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72B78"/>
    <w:multiLevelType w:val="hybridMultilevel"/>
    <w:tmpl w:val="8DD23BD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356B1A4C"/>
    <w:multiLevelType w:val="hybridMultilevel"/>
    <w:tmpl w:val="2CD652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419830A8"/>
    <w:multiLevelType w:val="hybridMultilevel"/>
    <w:tmpl w:val="F640A39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4CA63588"/>
    <w:multiLevelType w:val="hybridMultilevel"/>
    <w:tmpl w:val="CCC2D46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4F2E5929"/>
    <w:multiLevelType w:val="hybridMultilevel"/>
    <w:tmpl w:val="0CCADF5C"/>
    <w:lvl w:ilvl="0" w:tplc="A2DC54A8">
      <w:numFmt w:val="bullet"/>
      <w:lvlText w:val="-"/>
      <w:lvlJc w:val="left"/>
      <w:pPr>
        <w:ind w:left="708" w:hanging="360"/>
      </w:pPr>
      <w:rPr>
        <w:rFonts w:ascii="Century Schoolbook" w:eastAsia="Calibri" w:hAnsi="Century Schoolbook"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num w:numId="1" w16cid:durableId="1778284582">
    <w:abstractNumId w:val="0"/>
  </w:num>
  <w:num w:numId="2" w16cid:durableId="950432960">
    <w:abstractNumId w:val="1"/>
  </w:num>
  <w:num w:numId="3" w16cid:durableId="1272977937">
    <w:abstractNumId w:val="2"/>
  </w:num>
  <w:num w:numId="4" w16cid:durableId="383024348">
    <w:abstractNumId w:val="3"/>
  </w:num>
  <w:num w:numId="5" w16cid:durableId="1982416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AC"/>
    <w:rsid w:val="00023A6E"/>
    <w:rsid w:val="00086333"/>
    <w:rsid w:val="00184F48"/>
    <w:rsid w:val="001A2F62"/>
    <w:rsid w:val="002032C8"/>
    <w:rsid w:val="002219A7"/>
    <w:rsid w:val="002F4FCB"/>
    <w:rsid w:val="00303C82"/>
    <w:rsid w:val="003924FF"/>
    <w:rsid w:val="00442788"/>
    <w:rsid w:val="00442B07"/>
    <w:rsid w:val="00502879"/>
    <w:rsid w:val="005768C6"/>
    <w:rsid w:val="00694BE4"/>
    <w:rsid w:val="00707FFA"/>
    <w:rsid w:val="0078104A"/>
    <w:rsid w:val="007A5007"/>
    <w:rsid w:val="007B0B39"/>
    <w:rsid w:val="007C1006"/>
    <w:rsid w:val="008242AA"/>
    <w:rsid w:val="008927EF"/>
    <w:rsid w:val="008A3952"/>
    <w:rsid w:val="009A079B"/>
    <w:rsid w:val="00A33C78"/>
    <w:rsid w:val="00A41C2F"/>
    <w:rsid w:val="00A47CF2"/>
    <w:rsid w:val="00AB7CA1"/>
    <w:rsid w:val="00AF78C8"/>
    <w:rsid w:val="00B34FD9"/>
    <w:rsid w:val="00BA4F35"/>
    <w:rsid w:val="00BF0F89"/>
    <w:rsid w:val="00C247AC"/>
    <w:rsid w:val="00C60234"/>
    <w:rsid w:val="00C9633F"/>
    <w:rsid w:val="00CA6127"/>
    <w:rsid w:val="00CA6F63"/>
    <w:rsid w:val="00D6032D"/>
    <w:rsid w:val="00D61412"/>
    <w:rsid w:val="00DB43A1"/>
    <w:rsid w:val="00DD3DF6"/>
    <w:rsid w:val="00E81920"/>
    <w:rsid w:val="00EF30E2"/>
    <w:rsid w:val="00EF7A11"/>
    <w:rsid w:val="00F0256F"/>
    <w:rsid w:val="00F02FD3"/>
    <w:rsid w:val="00F126D4"/>
    <w:rsid w:val="00FE15B4"/>
    <w:rsid w:val="00FE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9508"/>
  <w15:chartTrackingRefBased/>
  <w15:docId w15:val="{217E732C-D509-D149-8CE6-1698EC0A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333"/>
    <w:pPr>
      <w:widowControl w:val="0"/>
      <w:spacing w:line="264" w:lineRule="auto"/>
    </w:pPr>
    <w:rPr>
      <w:rFonts w:ascii="Calibri" w:eastAsia="Calibri" w:hAnsi="Calibri" w:cs="Calibri"/>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247AC"/>
    <w:pPr>
      <w:widowControl w:val="0"/>
      <w:spacing w:line="264" w:lineRule="auto"/>
    </w:pPr>
    <w:rPr>
      <w:rFonts w:ascii="Calibri" w:eastAsia="Calibri" w:hAnsi="Calibri" w:cs="Calibri"/>
      <w:color w:val="000000"/>
      <w:sz w:val="16"/>
      <w:szCs w:val="16"/>
    </w:rPr>
  </w:style>
  <w:style w:type="paragraph" w:styleId="Header">
    <w:name w:val="header"/>
    <w:basedOn w:val="Normal"/>
    <w:link w:val="HeaderChar"/>
    <w:uiPriority w:val="99"/>
    <w:unhideWhenUsed/>
    <w:rsid w:val="00C247AC"/>
    <w:pPr>
      <w:tabs>
        <w:tab w:val="center" w:pos="4320"/>
        <w:tab w:val="right" w:pos="8640"/>
      </w:tabs>
      <w:spacing w:line="240" w:lineRule="auto"/>
    </w:pPr>
  </w:style>
  <w:style w:type="character" w:customStyle="1" w:styleId="HeaderChar">
    <w:name w:val="Header Char"/>
    <w:basedOn w:val="DefaultParagraphFont"/>
    <w:link w:val="Header"/>
    <w:uiPriority w:val="99"/>
    <w:rsid w:val="00C247AC"/>
    <w:rPr>
      <w:rFonts w:ascii="Calibri" w:eastAsia="Calibri" w:hAnsi="Calibri" w:cs="Calibri"/>
      <w:color w:val="000000"/>
      <w:sz w:val="16"/>
      <w:szCs w:val="16"/>
    </w:rPr>
  </w:style>
  <w:style w:type="paragraph" w:styleId="Footer">
    <w:name w:val="footer"/>
    <w:basedOn w:val="Normal"/>
    <w:link w:val="FooterChar"/>
    <w:uiPriority w:val="99"/>
    <w:unhideWhenUsed/>
    <w:rsid w:val="00C247AC"/>
    <w:pPr>
      <w:tabs>
        <w:tab w:val="center" w:pos="4320"/>
        <w:tab w:val="right" w:pos="8640"/>
      </w:tabs>
      <w:spacing w:line="240" w:lineRule="auto"/>
    </w:pPr>
  </w:style>
  <w:style w:type="character" w:customStyle="1" w:styleId="FooterChar">
    <w:name w:val="Footer Char"/>
    <w:basedOn w:val="DefaultParagraphFont"/>
    <w:link w:val="Footer"/>
    <w:uiPriority w:val="99"/>
    <w:rsid w:val="00C247AC"/>
    <w:rPr>
      <w:rFonts w:ascii="Calibri" w:eastAsia="Calibri" w:hAnsi="Calibri" w:cs="Calibri"/>
      <w:color w:val="000000"/>
      <w:sz w:val="16"/>
      <w:szCs w:val="16"/>
    </w:rPr>
  </w:style>
  <w:style w:type="character" w:styleId="Hyperlink">
    <w:name w:val="Hyperlink"/>
    <w:basedOn w:val="DefaultParagraphFont"/>
    <w:uiPriority w:val="99"/>
    <w:unhideWhenUsed/>
    <w:rsid w:val="00303C82"/>
    <w:rPr>
      <w:color w:val="0563C1" w:themeColor="hyperlink"/>
      <w:u w:val="single"/>
    </w:rPr>
  </w:style>
  <w:style w:type="character" w:styleId="UnresolvedMention">
    <w:name w:val="Unresolved Mention"/>
    <w:basedOn w:val="DefaultParagraphFont"/>
    <w:uiPriority w:val="99"/>
    <w:semiHidden/>
    <w:unhideWhenUsed/>
    <w:rsid w:val="001A2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4919">
      <w:bodyDiv w:val="1"/>
      <w:marLeft w:val="0"/>
      <w:marRight w:val="0"/>
      <w:marTop w:val="0"/>
      <w:marBottom w:val="0"/>
      <w:divBdr>
        <w:top w:val="none" w:sz="0" w:space="0" w:color="auto"/>
        <w:left w:val="none" w:sz="0" w:space="0" w:color="auto"/>
        <w:bottom w:val="none" w:sz="0" w:space="0" w:color="auto"/>
        <w:right w:val="none" w:sz="0" w:space="0" w:color="auto"/>
      </w:divBdr>
    </w:div>
    <w:div w:id="89737666">
      <w:bodyDiv w:val="1"/>
      <w:marLeft w:val="0"/>
      <w:marRight w:val="0"/>
      <w:marTop w:val="0"/>
      <w:marBottom w:val="0"/>
      <w:divBdr>
        <w:top w:val="none" w:sz="0" w:space="0" w:color="auto"/>
        <w:left w:val="none" w:sz="0" w:space="0" w:color="auto"/>
        <w:bottom w:val="none" w:sz="0" w:space="0" w:color="auto"/>
        <w:right w:val="none" w:sz="0" w:space="0" w:color="auto"/>
      </w:divBdr>
    </w:div>
    <w:div w:id="1786654678">
      <w:bodyDiv w:val="1"/>
      <w:marLeft w:val="0"/>
      <w:marRight w:val="0"/>
      <w:marTop w:val="0"/>
      <w:marBottom w:val="0"/>
      <w:divBdr>
        <w:top w:val="none" w:sz="0" w:space="0" w:color="auto"/>
        <w:left w:val="none" w:sz="0" w:space="0" w:color="auto"/>
        <w:bottom w:val="none" w:sz="0" w:space="0" w:color="auto"/>
        <w:right w:val="none" w:sz="0" w:space="0" w:color="auto"/>
      </w:divBdr>
      <w:divsChild>
        <w:div w:id="119599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808093">
              <w:marLeft w:val="0"/>
              <w:marRight w:val="0"/>
              <w:marTop w:val="0"/>
              <w:marBottom w:val="0"/>
              <w:divBdr>
                <w:top w:val="none" w:sz="0" w:space="0" w:color="auto"/>
                <w:left w:val="none" w:sz="0" w:space="0" w:color="auto"/>
                <w:bottom w:val="none" w:sz="0" w:space="0" w:color="auto"/>
                <w:right w:val="none" w:sz="0" w:space="0" w:color="auto"/>
              </w:divBdr>
              <w:divsChild>
                <w:div w:id="105590238">
                  <w:marLeft w:val="0"/>
                  <w:marRight w:val="0"/>
                  <w:marTop w:val="0"/>
                  <w:marBottom w:val="0"/>
                  <w:divBdr>
                    <w:top w:val="none" w:sz="0" w:space="0" w:color="auto"/>
                    <w:left w:val="none" w:sz="0" w:space="0" w:color="auto"/>
                    <w:bottom w:val="none" w:sz="0" w:space="0" w:color="auto"/>
                    <w:right w:val="none" w:sz="0" w:space="0" w:color="auto"/>
                  </w:divBdr>
                  <w:divsChild>
                    <w:div w:id="1427186721">
                      <w:marLeft w:val="0"/>
                      <w:marRight w:val="0"/>
                      <w:marTop w:val="0"/>
                      <w:marBottom w:val="0"/>
                      <w:divBdr>
                        <w:top w:val="none" w:sz="0" w:space="0" w:color="auto"/>
                        <w:left w:val="none" w:sz="0" w:space="0" w:color="auto"/>
                        <w:bottom w:val="none" w:sz="0" w:space="0" w:color="auto"/>
                        <w:right w:val="none" w:sz="0" w:space="0" w:color="auto"/>
                      </w:divBdr>
                      <w:divsChild>
                        <w:div w:id="569341168">
                          <w:marLeft w:val="0"/>
                          <w:marRight w:val="0"/>
                          <w:marTop w:val="0"/>
                          <w:marBottom w:val="0"/>
                          <w:divBdr>
                            <w:top w:val="none" w:sz="0" w:space="0" w:color="auto"/>
                            <w:left w:val="none" w:sz="0" w:space="0" w:color="auto"/>
                            <w:bottom w:val="none" w:sz="0" w:space="0" w:color="auto"/>
                            <w:right w:val="none" w:sz="0" w:space="0" w:color="auto"/>
                          </w:divBdr>
                          <w:divsChild>
                            <w:div w:id="1291596084">
                              <w:marLeft w:val="0"/>
                              <w:marRight w:val="0"/>
                              <w:marTop w:val="0"/>
                              <w:marBottom w:val="0"/>
                              <w:divBdr>
                                <w:top w:val="none" w:sz="0" w:space="0" w:color="auto"/>
                                <w:left w:val="none" w:sz="0" w:space="0" w:color="auto"/>
                                <w:bottom w:val="none" w:sz="0" w:space="0" w:color="auto"/>
                                <w:right w:val="none" w:sz="0" w:space="0" w:color="auto"/>
                              </w:divBdr>
                              <w:divsChild>
                                <w:div w:id="818618542">
                                  <w:marLeft w:val="0"/>
                                  <w:marRight w:val="0"/>
                                  <w:marTop w:val="0"/>
                                  <w:marBottom w:val="0"/>
                                  <w:divBdr>
                                    <w:top w:val="none" w:sz="0" w:space="0" w:color="auto"/>
                                    <w:left w:val="none" w:sz="0" w:space="0" w:color="auto"/>
                                    <w:bottom w:val="none" w:sz="0" w:space="0" w:color="auto"/>
                                    <w:right w:val="none" w:sz="0" w:space="0" w:color="auto"/>
                                  </w:divBdr>
                                  <w:divsChild>
                                    <w:div w:id="1404646628">
                                      <w:marLeft w:val="0"/>
                                      <w:marRight w:val="0"/>
                                      <w:marTop w:val="0"/>
                                      <w:marBottom w:val="0"/>
                                      <w:divBdr>
                                        <w:top w:val="none" w:sz="0" w:space="0" w:color="auto"/>
                                        <w:left w:val="none" w:sz="0" w:space="0" w:color="auto"/>
                                        <w:bottom w:val="none" w:sz="0" w:space="0" w:color="auto"/>
                                        <w:right w:val="none" w:sz="0" w:space="0" w:color="auto"/>
                                      </w:divBdr>
                                      <w:divsChild>
                                        <w:div w:id="929123405">
                                          <w:marLeft w:val="0"/>
                                          <w:marRight w:val="0"/>
                                          <w:marTop w:val="0"/>
                                          <w:marBottom w:val="0"/>
                                          <w:divBdr>
                                            <w:top w:val="none" w:sz="0" w:space="0" w:color="auto"/>
                                            <w:left w:val="none" w:sz="0" w:space="0" w:color="auto"/>
                                            <w:bottom w:val="none" w:sz="0" w:space="0" w:color="auto"/>
                                            <w:right w:val="none" w:sz="0" w:space="0" w:color="auto"/>
                                          </w:divBdr>
                                          <w:divsChild>
                                            <w:div w:id="1002246170">
                                              <w:marLeft w:val="0"/>
                                              <w:marRight w:val="0"/>
                                              <w:marTop w:val="0"/>
                                              <w:marBottom w:val="0"/>
                                              <w:divBdr>
                                                <w:top w:val="none" w:sz="0" w:space="0" w:color="auto"/>
                                                <w:left w:val="none" w:sz="0" w:space="0" w:color="auto"/>
                                                <w:bottom w:val="none" w:sz="0" w:space="0" w:color="auto"/>
                                                <w:right w:val="none" w:sz="0" w:space="0" w:color="auto"/>
                                              </w:divBdr>
                                              <w:divsChild>
                                                <w:div w:id="2041006957">
                                                  <w:marLeft w:val="0"/>
                                                  <w:marRight w:val="0"/>
                                                  <w:marTop w:val="0"/>
                                                  <w:marBottom w:val="0"/>
                                                  <w:divBdr>
                                                    <w:top w:val="none" w:sz="0" w:space="0" w:color="auto"/>
                                                    <w:left w:val="none" w:sz="0" w:space="0" w:color="auto"/>
                                                    <w:bottom w:val="none" w:sz="0" w:space="0" w:color="auto"/>
                                                    <w:right w:val="none" w:sz="0" w:space="0" w:color="auto"/>
                                                  </w:divBdr>
                                                  <w:divsChild>
                                                    <w:div w:id="726418737">
                                                      <w:marLeft w:val="0"/>
                                                      <w:marRight w:val="0"/>
                                                      <w:marTop w:val="0"/>
                                                      <w:marBottom w:val="0"/>
                                                      <w:divBdr>
                                                        <w:top w:val="none" w:sz="0" w:space="0" w:color="auto"/>
                                                        <w:left w:val="none" w:sz="0" w:space="0" w:color="auto"/>
                                                        <w:bottom w:val="none" w:sz="0" w:space="0" w:color="auto"/>
                                                        <w:right w:val="none" w:sz="0" w:space="0" w:color="auto"/>
                                                      </w:divBdr>
                                                      <w:divsChild>
                                                        <w:div w:id="829826906">
                                                          <w:marLeft w:val="0"/>
                                                          <w:marRight w:val="0"/>
                                                          <w:marTop w:val="0"/>
                                                          <w:marBottom w:val="0"/>
                                                          <w:divBdr>
                                                            <w:top w:val="none" w:sz="0" w:space="0" w:color="auto"/>
                                                            <w:left w:val="none" w:sz="0" w:space="0" w:color="auto"/>
                                                            <w:bottom w:val="none" w:sz="0" w:space="0" w:color="auto"/>
                                                            <w:right w:val="none" w:sz="0" w:space="0" w:color="auto"/>
                                                          </w:divBdr>
                                                          <w:divsChild>
                                                            <w:div w:id="1782917968">
                                                              <w:marLeft w:val="0"/>
                                                              <w:marRight w:val="0"/>
                                                              <w:marTop w:val="0"/>
                                                              <w:marBottom w:val="0"/>
                                                              <w:divBdr>
                                                                <w:top w:val="none" w:sz="0" w:space="0" w:color="auto"/>
                                                                <w:left w:val="none" w:sz="0" w:space="0" w:color="auto"/>
                                                                <w:bottom w:val="none" w:sz="0" w:space="0" w:color="auto"/>
                                                                <w:right w:val="none" w:sz="0" w:space="0" w:color="auto"/>
                                                              </w:divBdr>
                                                              <w:divsChild>
                                                                <w:div w:id="502816400">
                                                                  <w:marLeft w:val="0"/>
                                                                  <w:marRight w:val="0"/>
                                                                  <w:marTop w:val="0"/>
                                                                  <w:marBottom w:val="0"/>
                                                                  <w:divBdr>
                                                                    <w:top w:val="none" w:sz="0" w:space="0" w:color="auto"/>
                                                                    <w:left w:val="none" w:sz="0" w:space="0" w:color="auto"/>
                                                                    <w:bottom w:val="none" w:sz="0" w:space="0" w:color="auto"/>
                                                                    <w:right w:val="none" w:sz="0" w:space="0" w:color="auto"/>
                                                                  </w:divBdr>
                                                                  <w:divsChild>
                                                                    <w:div w:id="1768040942">
                                                                      <w:marLeft w:val="0"/>
                                                                      <w:marRight w:val="0"/>
                                                                      <w:marTop w:val="0"/>
                                                                      <w:marBottom w:val="0"/>
                                                                      <w:divBdr>
                                                                        <w:top w:val="none" w:sz="0" w:space="0" w:color="auto"/>
                                                                        <w:left w:val="none" w:sz="0" w:space="0" w:color="auto"/>
                                                                        <w:bottom w:val="none" w:sz="0" w:space="0" w:color="auto"/>
                                                                        <w:right w:val="none" w:sz="0" w:space="0" w:color="auto"/>
                                                                      </w:divBdr>
                                                                      <w:divsChild>
                                                                        <w:div w:id="128014578">
                                                                          <w:marLeft w:val="0"/>
                                                                          <w:marRight w:val="0"/>
                                                                          <w:marTop w:val="0"/>
                                                                          <w:marBottom w:val="0"/>
                                                                          <w:divBdr>
                                                                            <w:top w:val="none" w:sz="0" w:space="0" w:color="auto"/>
                                                                            <w:left w:val="none" w:sz="0" w:space="0" w:color="auto"/>
                                                                            <w:bottom w:val="none" w:sz="0" w:space="0" w:color="auto"/>
                                                                            <w:right w:val="none" w:sz="0" w:space="0" w:color="auto"/>
                                                                          </w:divBdr>
                                                                          <w:divsChild>
                                                                            <w:div w:id="6204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08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5.uscourts.gov/opinions/pub/19/19-30247-CV0.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brandao@tulane.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upremecourt.gov/opinions/21pdf/21-569_2dq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Brandao, Samuel T</dc:creator>
  <cp:keywords/>
  <dc:description/>
  <cp:lastModifiedBy>Brandao, Sam T</cp:lastModifiedBy>
  <cp:revision>2</cp:revision>
  <dcterms:created xsi:type="dcterms:W3CDTF">2025-02-24T03:52:00Z</dcterms:created>
  <dcterms:modified xsi:type="dcterms:W3CDTF">2025-02-24T03:52:00Z</dcterms:modified>
</cp:coreProperties>
</file>