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9361" w14:textId="77777777" w:rsidR="00726E42" w:rsidRPr="001D48DE" w:rsidRDefault="00726E42" w:rsidP="00726E42">
      <w:pPr>
        <w:pStyle w:val="Default"/>
        <w:rPr>
          <w:rFonts w:ascii="Times New Roman" w:hAnsi="Times New Roman" w:cs="Times New Roman"/>
          <w:b/>
          <w:bCs/>
          <w:color w:val="auto"/>
          <w:u w:val="single"/>
        </w:rPr>
      </w:pPr>
      <w:r w:rsidRPr="001D48DE">
        <w:rPr>
          <w:rFonts w:ascii="Times New Roman" w:hAnsi="Times New Roman" w:cs="Times New Roman"/>
          <w:b/>
          <w:bCs/>
          <w:color w:val="auto"/>
          <w:u w:val="single"/>
        </w:rPr>
        <w:br/>
        <w:t xml:space="preserve"> </w:t>
      </w:r>
    </w:p>
    <w:p w14:paraId="766CC43B" w14:textId="404D05F6" w:rsidR="00726E42" w:rsidRDefault="00925072" w:rsidP="00726E42">
      <w:pPr>
        <w:pStyle w:val="Heading2"/>
        <w:jc w:val="center"/>
        <w:rPr>
          <w:b/>
          <w:i w:val="0"/>
          <w:iCs/>
          <w:sz w:val="24"/>
          <w:szCs w:val="24"/>
        </w:rPr>
      </w:pPr>
      <w:r w:rsidRPr="001D48DE">
        <w:rPr>
          <w:b/>
          <w:i w:val="0"/>
          <w:iCs/>
          <w:sz w:val="24"/>
          <w:szCs w:val="24"/>
        </w:rPr>
        <w:t>Professor</w:t>
      </w:r>
      <w:r w:rsidR="00726E42" w:rsidRPr="001D48DE">
        <w:rPr>
          <w:b/>
          <w:i w:val="0"/>
          <w:iCs/>
          <w:sz w:val="24"/>
          <w:szCs w:val="24"/>
        </w:rPr>
        <w:t xml:space="preserve"> Ö</w:t>
      </w:r>
      <w:r w:rsidR="003B06B8" w:rsidRPr="001D48DE">
        <w:rPr>
          <w:b/>
          <w:i w:val="0"/>
          <w:iCs/>
          <w:sz w:val="24"/>
          <w:szCs w:val="24"/>
        </w:rPr>
        <w:t xml:space="preserve">zlem </w:t>
      </w:r>
      <w:r w:rsidR="00726E42" w:rsidRPr="001D48DE">
        <w:rPr>
          <w:b/>
          <w:i w:val="0"/>
          <w:iCs/>
          <w:sz w:val="24"/>
          <w:szCs w:val="24"/>
        </w:rPr>
        <w:t>G</w:t>
      </w:r>
      <w:r w:rsidR="003B06B8" w:rsidRPr="001D48DE">
        <w:rPr>
          <w:rFonts w:ascii="Georgia" w:hAnsi="Georgia"/>
          <w:b/>
          <w:bCs/>
          <w:i w:val="0"/>
          <w:iCs/>
          <w:sz w:val="22"/>
          <w:szCs w:val="22"/>
          <w:bdr w:val="none" w:sz="0" w:space="0" w:color="auto" w:frame="1"/>
          <w:shd w:val="clear" w:color="auto" w:fill="FFFFFF"/>
        </w:rPr>
        <w:t>ü</w:t>
      </w:r>
      <w:r w:rsidR="003B06B8" w:rsidRPr="001D48DE">
        <w:rPr>
          <w:b/>
          <w:i w:val="0"/>
          <w:iCs/>
          <w:sz w:val="24"/>
          <w:szCs w:val="24"/>
        </w:rPr>
        <w:t xml:space="preserve">rses  </w:t>
      </w:r>
    </w:p>
    <w:p w14:paraId="3EFDF5B1" w14:textId="77777777" w:rsidR="00964F90" w:rsidRPr="00964F90" w:rsidRDefault="00964F90" w:rsidP="00964F90"/>
    <w:p w14:paraId="19D7026D" w14:textId="6BAB1CFC" w:rsidR="00964F90" w:rsidRDefault="00964F90" w:rsidP="00964F90">
      <w:r>
        <w:tab/>
      </w:r>
      <w:r>
        <w:tab/>
      </w:r>
      <w:r>
        <w:tab/>
      </w:r>
      <w:r>
        <w:tab/>
        <w:t xml:space="preserve">     Email: ogurses@tulane.edu</w:t>
      </w:r>
    </w:p>
    <w:p w14:paraId="70FCF94E" w14:textId="0D6310A8" w:rsidR="00964F90" w:rsidRPr="00964F90" w:rsidRDefault="00964F90" w:rsidP="00964F90">
      <w:r>
        <w:tab/>
      </w:r>
    </w:p>
    <w:p w14:paraId="0CB47828" w14:textId="2AEE6885" w:rsidR="00726E42" w:rsidRPr="001D48DE" w:rsidRDefault="00726E42" w:rsidP="00CE6E8E">
      <w:pPr>
        <w:rPr>
          <w:sz w:val="24"/>
          <w:szCs w:val="24"/>
        </w:rPr>
      </w:pPr>
      <w:r w:rsidRPr="001D48DE">
        <w:rPr>
          <w:sz w:val="24"/>
          <w:szCs w:val="24"/>
        </w:rPr>
        <w:t xml:space="preserve">        </w:t>
      </w:r>
    </w:p>
    <w:p w14:paraId="02723D0C" w14:textId="77777777" w:rsidR="00726E42" w:rsidRPr="001D48DE" w:rsidRDefault="00726E42" w:rsidP="00726E42">
      <w:pPr>
        <w:ind w:left="3600" w:firstLine="720"/>
        <w:rPr>
          <w:sz w:val="24"/>
          <w:szCs w:val="24"/>
        </w:rPr>
      </w:pPr>
      <w:r w:rsidRPr="001D48DE">
        <w:rPr>
          <w:sz w:val="24"/>
          <w:szCs w:val="24"/>
        </w:rPr>
        <w:t xml:space="preserve"> </w:t>
      </w:r>
    </w:p>
    <w:p w14:paraId="649507A9" w14:textId="2414F3CF" w:rsidR="003B06B8" w:rsidRPr="001D48DE" w:rsidRDefault="00726E42" w:rsidP="003B06B8">
      <w:pPr>
        <w:rPr>
          <w:sz w:val="24"/>
          <w:szCs w:val="24"/>
        </w:rPr>
      </w:pPr>
      <w:r w:rsidRPr="001D48DE">
        <w:rPr>
          <w:sz w:val="24"/>
          <w:szCs w:val="24"/>
        </w:rPr>
        <w:t xml:space="preserve">                  </w:t>
      </w:r>
    </w:p>
    <w:p w14:paraId="739CB6C5" w14:textId="4453CA37" w:rsidR="00726E42" w:rsidRPr="001D48DE" w:rsidRDefault="00726E42" w:rsidP="00726E42">
      <w:pPr>
        <w:ind w:firstLine="720"/>
        <w:rPr>
          <w:sz w:val="24"/>
          <w:szCs w:val="24"/>
        </w:rPr>
      </w:pPr>
    </w:p>
    <w:p w14:paraId="5E1C935C" w14:textId="77777777" w:rsidR="00726E42" w:rsidRPr="001D48DE" w:rsidRDefault="00726E42" w:rsidP="00726E42">
      <w:pPr>
        <w:pStyle w:val="Heading5"/>
        <w:shd w:val="pct30" w:color="auto" w:fill="FFFFFF"/>
        <w:ind w:left="-180"/>
        <w:rPr>
          <w:szCs w:val="24"/>
        </w:rPr>
      </w:pPr>
      <w:r w:rsidRPr="001D48DE">
        <w:rPr>
          <w:szCs w:val="24"/>
        </w:rPr>
        <w:t>EDUCATION</w:t>
      </w:r>
    </w:p>
    <w:p w14:paraId="094E21A4" w14:textId="77777777" w:rsidR="00726E42" w:rsidRPr="001D48DE" w:rsidRDefault="00726E42" w:rsidP="00726E42">
      <w:pPr>
        <w:widowControl w:val="0"/>
        <w:jc w:val="both"/>
        <w:rPr>
          <w:b/>
          <w:sz w:val="24"/>
          <w:szCs w:val="24"/>
          <w:u w:val="single"/>
        </w:rPr>
      </w:pPr>
    </w:p>
    <w:p w14:paraId="156D55AA" w14:textId="77777777" w:rsidR="00726E42" w:rsidRPr="001D48DE" w:rsidRDefault="00726E42" w:rsidP="00726E42">
      <w:pPr>
        <w:widowControl w:val="0"/>
        <w:jc w:val="both"/>
        <w:rPr>
          <w:b/>
          <w:sz w:val="24"/>
          <w:szCs w:val="24"/>
          <w:u w:val="single"/>
        </w:rPr>
      </w:pPr>
    </w:p>
    <w:p w14:paraId="1AF2862D" w14:textId="76EA9BCA" w:rsidR="00726E42" w:rsidRPr="001D48DE" w:rsidRDefault="005E6AC8" w:rsidP="00EA0669">
      <w:pPr>
        <w:widowControl w:val="0"/>
        <w:ind w:left="-360" w:firstLine="180"/>
        <w:jc w:val="both"/>
        <w:rPr>
          <w:sz w:val="24"/>
          <w:szCs w:val="24"/>
        </w:rPr>
      </w:pPr>
      <w:r w:rsidRPr="001D48DE">
        <w:rPr>
          <w:b/>
          <w:sz w:val="24"/>
          <w:szCs w:val="24"/>
        </w:rPr>
        <w:t xml:space="preserve">2006-2009 </w:t>
      </w:r>
      <w:r w:rsidR="00726E42" w:rsidRPr="001D48DE">
        <w:rPr>
          <w:b/>
          <w:sz w:val="24"/>
          <w:szCs w:val="24"/>
        </w:rPr>
        <w:t xml:space="preserve">  </w:t>
      </w:r>
      <w:r w:rsidR="00EA0669" w:rsidRPr="001D48DE">
        <w:rPr>
          <w:b/>
          <w:sz w:val="24"/>
          <w:szCs w:val="24"/>
        </w:rPr>
        <w:tab/>
      </w:r>
      <w:r w:rsidR="00726E42" w:rsidRPr="001D48DE">
        <w:rPr>
          <w:sz w:val="24"/>
          <w:szCs w:val="24"/>
        </w:rPr>
        <w:t>PhD in Law, University of Southampton</w:t>
      </w:r>
      <w:r w:rsidRPr="001D48DE">
        <w:rPr>
          <w:sz w:val="24"/>
          <w:szCs w:val="24"/>
        </w:rPr>
        <w:t>, UK</w:t>
      </w:r>
    </w:p>
    <w:p w14:paraId="65121F86" w14:textId="77777777" w:rsidR="00726E42" w:rsidRPr="001D48DE" w:rsidRDefault="00726E42" w:rsidP="00726E42">
      <w:pPr>
        <w:widowControl w:val="0"/>
        <w:tabs>
          <w:tab w:val="left" w:pos="2160"/>
        </w:tabs>
        <w:jc w:val="both"/>
        <w:rPr>
          <w:sz w:val="24"/>
          <w:szCs w:val="24"/>
        </w:rPr>
      </w:pPr>
    </w:p>
    <w:p w14:paraId="035033D8" w14:textId="7DB3B26B" w:rsidR="00726E42" w:rsidRPr="001D48DE" w:rsidRDefault="005E6AC8" w:rsidP="00726E42">
      <w:pPr>
        <w:widowControl w:val="0"/>
        <w:ind w:left="-180"/>
        <w:jc w:val="both"/>
        <w:rPr>
          <w:sz w:val="24"/>
          <w:szCs w:val="24"/>
        </w:rPr>
      </w:pPr>
      <w:r w:rsidRPr="001D48DE">
        <w:rPr>
          <w:b/>
          <w:sz w:val="24"/>
          <w:szCs w:val="24"/>
        </w:rPr>
        <w:t xml:space="preserve">2005-2006 </w:t>
      </w:r>
      <w:r w:rsidRPr="001D48DE">
        <w:rPr>
          <w:b/>
          <w:sz w:val="24"/>
          <w:szCs w:val="24"/>
        </w:rPr>
        <w:tab/>
      </w:r>
      <w:r w:rsidR="00726E42" w:rsidRPr="001D48DE">
        <w:rPr>
          <w:sz w:val="24"/>
          <w:szCs w:val="24"/>
        </w:rPr>
        <w:t>LLM in Maritime Law, University of Southampton (Distinction)</w:t>
      </w:r>
      <w:r w:rsidRPr="001D48DE">
        <w:rPr>
          <w:sz w:val="24"/>
          <w:szCs w:val="24"/>
        </w:rPr>
        <w:t>, UK</w:t>
      </w:r>
    </w:p>
    <w:p w14:paraId="0A1C71EB" w14:textId="77777777" w:rsidR="00726E42" w:rsidRPr="001D48DE" w:rsidRDefault="00726E42" w:rsidP="00726E42">
      <w:pPr>
        <w:widowControl w:val="0"/>
        <w:jc w:val="both"/>
        <w:rPr>
          <w:b/>
          <w:sz w:val="24"/>
          <w:szCs w:val="24"/>
        </w:rPr>
      </w:pPr>
    </w:p>
    <w:p w14:paraId="004AE87E" w14:textId="634635F1" w:rsidR="00726E42" w:rsidRPr="001D48DE" w:rsidRDefault="00726E42" w:rsidP="00726E42">
      <w:pPr>
        <w:widowControl w:val="0"/>
        <w:ind w:left="-180"/>
        <w:jc w:val="both"/>
        <w:rPr>
          <w:sz w:val="24"/>
          <w:szCs w:val="24"/>
        </w:rPr>
      </w:pPr>
      <w:r w:rsidRPr="001D48DE">
        <w:rPr>
          <w:b/>
          <w:bCs/>
          <w:sz w:val="24"/>
          <w:szCs w:val="24"/>
        </w:rPr>
        <w:t>2002</w:t>
      </w:r>
      <w:r w:rsidR="00EA0669" w:rsidRPr="001D48DE">
        <w:rPr>
          <w:b/>
          <w:bCs/>
          <w:sz w:val="24"/>
          <w:szCs w:val="24"/>
        </w:rPr>
        <w:t>-</w:t>
      </w:r>
      <w:r w:rsidRPr="001D48DE">
        <w:rPr>
          <w:b/>
          <w:bCs/>
          <w:sz w:val="24"/>
          <w:szCs w:val="24"/>
        </w:rPr>
        <w:t>2004</w:t>
      </w:r>
      <w:r w:rsidRPr="001D48DE">
        <w:rPr>
          <w:sz w:val="24"/>
          <w:szCs w:val="24"/>
        </w:rPr>
        <w:t xml:space="preserve"> </w:t>
      </w:r>
      <w:r w:rsidRPr="001D48DE">
        <w:rPr>
          <w:sz w:val="24"/>
          <w:szCs w:val="24"/>
        </w:rPr>
        <w:tab/>
        <w:t>LLM (</w:t>
      </w:r>
      <w:r w:rsidR="002A10CA" w:rsidRPr="001D48DE">
        <w:rPr>
          <w:sz w:val="24"/>
          <w:szCs w:val="24"/>
        </w:rPr>
        <w:t>Public Law</w:t>
      </w:r>
      <w:r w:rsidRPr="001D48DE">
        <w:rPr>
          <w:sz w:val="24"/>
          <w:szCs w:val="24"/>
        </w:rPr>
        <w:t>), University of Istanbul</w:t>
      </w:r>
      <w:r w:rsidR="005E6AC8" w:rsidRPr="001D48DE">
        <w:rPr>
          <w:sz w:val="24"/>
          <w:szCs w:val="24"/>
        </w:rPr>
        <w:t>, Turkey</w:t>
      </w:r>
      <w:r w:rsidRPr="001D48DE">
        <w:rPr>
          <w:sz w:val="24"/>
          <w:szCs w:val="24"/>
        </w:rPr>
        <w:t xml:space="preserve">  </w:t>
      </w:r>
    </w:p>
    <w:p w14:paraId="43308FAB" w14:textId="77777777" w:rsidR="00726E42" w:rsidRPr="001D48DE" w:rsidRDefault="00726E42" w:rsidP="00726E42">
      <w:pPr>
        <w:widowControl w:val="0"/>
        <w:jc w:val="both"/>
        <w:rPr>
          <w:sz w:val="24"/>
          <w:szCs w:val="24"/>
        </w:rPr>
      </w:pPr>
    </w:p>
    <w:p w14:paraId="39046FA9" w14:textId="2FA134F3" w:rsidR="00726E42" w:rsidRPr="001D48DE" w:rsidRDefault="00726E42" w:rsidP="00726E42">
      <w:pPr>
        <w:widowControl w:val="0"/>
        <w:ind w:left="2160" w:hanging="2340"/>
        <w:jc w:val="both"/>
        <w:rPr>
          <w:bCs/>
          <w:sz w:val="24"/>
          <w:szCs w:val="24"/>
        </w:rPr>
      </w:pPr>
      <w:r w:rsidRPr="001D48DE">
        <w:rPr>
          <w:b/>
          <w:sz w:val="24"/>
          <w:szCs w:val="24"/>
        </w:rPr>
        <w:t>1997</w:t>
      </w:r>
      <w:r w:rsidR="00EA0669" w:rsidRPr="001D48DE">
        <w:rPr>
          <w:b/>
          <w:sz w:val="24"/>
          <w:szCs w:val="24"/>
        </w:rPr>
        <w:t>-</w:t>
      </w:r>
      <w:r w:rsidRPr="001D48DE">
        <w:rPr>
          <w:b/>
          <w:sz w:val="24"/>
          <w:szCs w:val="24"/>
        </w:rPr>
        <w:t>2001</w:t>
      </w:r>
      <w:r w:rsidRPr="001D48DE">
        <w:rPr>
          <w:sz w:val="24"/>
          <w:szCs w:val="24"/>
        </w:rPr>
        <w:t xml:space="preserve">          </w:t>
      </w:r>
      <w:r w:rsidRPr="001D48DE">
        <w:rPr>
          <w:bCs/>
          <w:sz w:val="24"/>
          <w:szCs w:val="24"/>
        </w:rPr>
        <w:t>LLB, Faculty of Law, University of Istanbul, Turkey</w:t>
      </w:r>
    </w:p>
    <w:p w14:paraId="7A3C6661" w14:textId="77777777" w:rsidR="00726E42" w:rsidRPr="001D48DE" w:rsidRDefault="00726E42" w:rsidP="00726E42">
      <w:pPr>
        <w:widowControl w:val="0"/>
        <w:ind w:left="2160" w:hanging="2340"/>
        <w:jc w:val="both"/>
        <w:rPr>
          <w:bCs/>
          <w:sz w:val="24"/>
          <w:szCs w:val="24"/>
        </w:rPr>
      </w:pPr>
    </w:p>
    <w:p w14:paraId="7A309C15" w14:textId="77777777" w:rsidR="00726E42" w:rsidRPr="001D48DE" w:rsidRDefault="00726E42" w:rsidP="00726E42">
      <w:pPr>
        <w:widowControl w:val="0"/>
        <w:jc w:val="both"/>
        <w:rPr>
          <w:sz w:val="24"/>
          <w:szCs w:val="24"/>
        </w:rPr>
      </w:pPr>
      <w:r w:rsidRPr="001D48DE">
        <w:rPr>
          <w:sz w:val="24"/>
          <w:szCs w:val="24"/>
        </w:rPr>
        <w:t xml:space="preserve"> </w:t>
      </w:r>
    </w:p>
    <w:p w14:paraId="35E0D3C8" w14:textId="77777777" w:rsidR="00726E42" w:rsidRPr="001D48DE" w:rsidRDefault="00726E42" w:rsidP="00726E42">
      <w:pPr>
        <w:widowControl w:val="0"/>
        <w:jc w:val="both"/>
        <w:rPr>
          <w:sz w:val="24"/>
          <w:szCs w:val="24"/>
        </w:rPr>
      </w:pPr>
    </w:p>
    <w:p w14:paraId="0D2966C4" w14:textId="77777777" w:rsidR="00726E42" w:rsidRPr="001D48DE" w:rsidRDefault="00726E42" w:rsidP="00726E42">
      <w:pPr>
        <w:widowControl w:val="0"/>
        <w:jc w:val="both"/>
        <w:rPr>
          <w:sz w:val="24"/>
          <w:szCs w:val="24"/>
        </w:rPr>
      </w:pPr>
    </w:p>
    <w:p w14:paraId="08582F25" w14:textId="77777777" w:rsidR="00726E42" w:rsidRPr="001D48DE" w:rsidRDefault="00726E42" w:rsidP="00726E42">
      <w:pPr>
        <w:pStyle w:val="Heading3"/>
        <w:ind w:hanging="180"/>
        <w:rPr>
          <w:sz w:val="24"/>
          <w:szCs w:val="24"/>
        </w:rPr>
      </w:pPr>
      <w:r w:rsidRPr="001D48DE">
        <w:rPr>
          <w:sz w:val="24"/>
          <w:szCs w:val="24"/>
        </w:rPr>
        <w:t xml:space="preserve">PROFESSIONAL EXPERIENCE   </w:t>
      </w:r>
    </w:p>
    <w:p w14:paraId="3A154BEC" w14:textId="77777777" w:rsidR="00726E42" w:rsidRPr="001D48DE" w:rsidRDefault="00726E42" w:rsidP="00726E42">
      <w:pPr>
        <w:pStyle w:val="Heading3"/>
        <w:ind w:hanging="180"/>
        <w:rPr>
          <w:sz w:val="24"/>
          <w:szCs w:val="24"/>
        </w:rPr>
      </w:pPr>
    </w:p>
    <w:p w14:paraId="5E0E8063" w14:textId="77777777" w:rsidR="00726E42" w:rsidRPr="001D48DE" w:rsidRDefault="00726E42" w:rsidP="00726E42">
      <w:pPr>
        <w:rPr>
          <w:bCs/>
          <w:sz w:val="24"/>
          <w:szCs w:val="24"/>
          <w:u w:val="single"/>
        </w:rPr>
      </w:pPr>
    </w:p>
    <w:p w14:paraId="35FDE2D7" w14:textId="0E6A133C" w:rsidR="00CE6E8E" w:rsidRPr="00CE6E8E" w:rsidRDefault="00CE6E8E" w:rsidP="007D2C31">
      <w:pPr>
        <w:widowControl w:val="0"/>
        <w:tabs>
          <w:tab w:val="left" w:pos="2160"/>
        </w:tabs>
        <w:ind w:left="1980" w:hanging="2160"/>
        <w:jc w:val="both"/>
        <w:rPr>
          <w:bCs/>
          <w:sz w:val="24"/>
          <w:szCs w:val="24"/>
        </w:rPr>
      </w:pPr>
      <w:r>
        <w:rPr>
          <w:b/>
          <w:sz w:val="24"/>
          <w:szCs w:val="24"/>
        </w:rPr>
        <w:t xml:space="preserve">2026- </w:t>
      </w:r>
      <w:r>
        <w:rPr>
          <w:b/>
          <w:sz w:val="24"/>
          <w:szCs w:val="24"/>
        </w:rPr>
        <w:tab/>
      </w:r>
      <w:r w:rsidRPr="00CE6E8E">
        <w:rPr>
          <w:bCs/>
          <w:sz w:val="24"/>
          <w:szCs w:val="24"/>
        </w:rPr>
        <w:t xml:space="preserve">Professor of </w:t>
      </w:r>
      <w:r w:rsidR="008A68E2">
        <w:rPr>
          <w:bCs/>
          <w:sz w:val="24"/>
          <w:szCs w:val="24"/>
        </w:rPr>
        <w:t xml:space="preserve">Maritime </w:t>
      </w:r>
      <w:r w:rsidRPr="00CE6E8E">
        <w:rPr>
          <w:bCs/>
          <w:sz w:val="24"/>
          <w:szCs w:val="24"/>
        </w:rPr>
        <w:t>Law, Tulane Law School</w:t>
      </w:r>
      <w:r w:rsidR="00D15BC2">
        <w:rPr>
          <w:bCs/>
          <w:sz w:val="24"/>
          <w:szCs w:val="24"/>
        </w:rPr>
        <w:t>, USA.</w:t>
      </w:r>
    </w:p>
    <w:p w14:paraId="25001579" w14:textId="77777777" w:rsidR="00CE6E8E" w:rsidRDefault="00CE6E8E" w:rsidP="007D2C31">
      <w:pPr>
        <w:widowControl w:val="0"/>
        <w:tabs>
          <w:tab w:val="left" w:pos="2160"/>
        </w:tabs>
        <w:ind w:left="1980" w:hanging="2160"/>
        <w:jc w:val="both"/>
        <w:rPr>
          <w:b/>
          <w:sz w:val="24"/>
          <w:szCs w:val="24"/>
        </w:rPr>
      </w:pPr>
    </w:p>
    <w:p w14:paraId="484E6F09" w14:textId="1C52F7EC" w:rsidR="00726E42" w:rsidRPr="001D48DE" w:rsidRDefault="00726E42" w:rsidP="007D2C31">
      <w:pPr>
        <w:widowControl w:val="0"/>
        <w:tabs>
          <w:tab w:val="left" w:pos="2160"/>
        </w:tabs>
        <w:ind w:left="1980" w:hanging="2160"/>
        <w:jc w:val="both"/>
        <w:rPr>
          <w:bCs/>
          <w:sz w:val="24"/>
          <w:szCs w:val="24"/>
        </w:rPr>
      </w:pPr>
      <w:r w:rsidRPr="001D48DE">
        <w:rPr>
          <w:b/>
          <w:sz w:val="24"/>
          <w:szCs w:val="24"/>
        </w:rPr>
        <w:t>20</w:t>
      </w:r>
      <w:r w:rsidR="007D2C31" w:rsidRPr="001D48DE">
        <w:rPr>
          <w:b/>
          <w:sz w:val="24"/>
          <w:szCs w:val="24"/>
        </w:rPr>
        <w:t>20-</w:t>
      </w:r>
      <w:r w:rsidR="00CE6E8E">
        <w:rPr>
          <w:b/>
          <w:sz w:val="24"/>
          <w:szCs w:val="24"/>
        </w:rPr>
        <w:t>2026</w:t>
      </w:r>
      <w:r w:rsidRPr="001D48DE">
        <w:rPr>
          <w:b/>
          <w:sz w:val="24"/>
          <w:szCs w:val="24"/>
        </w:rPr>
        <w:t xml:space="preserve"> </w:t>
      </w:r>
      <w:r w:rsidRPr="001D48DE">
        <w:rPr>
          <w:bCs/>
          <w:sz w:val="24"/>
          <w:szCs w:val="24"/>
        </w:rPr>
        <w:t xml:space="preserve">  </w:t>
      </w:r>
      <w:r w:rsidR="00EA0669" w:rsidRPr="001D48DE">
        <w:rPr>
          <w:bCs/>
          <w:sz w:val="24"/>
          <w:szCs w:val="24"/>
        </w:rPr>
        <w:t xml:space="preserve"> </w:t>
      </w:r>
      <w:r w:rsidR="007D2C31" w:rsidRPr="001D48DE">
        <w:rPr>
          <w:bCs/>
          <w:sz w:val="24"/>
          <w:szCs w:val="24"/>
        </w:rPr>
        <w:tab/>
      </w:r>
      <w:r w:rsidR="00925072" w:rsidRPr="001D48DE">
        <w:rPr>
          <w:bCs/>
          <w:sz w:val="24"/>
          <w:szCs w:val="24"/>
        </w:rPr>
        <w:t xml:space="preserve">Professor of </w:t>
      </w:r>
      <w:r w:rsidRPr="001D48DE">
        <w:rPr>
          <w:bCs/>
          <w:sz w:val="24"/>
          <w:szCs w:val="24"/>
        </w:rPr>
        <w:t>Commercial Law, King’s College London</w:t>
      </w:r>
      <w:r w:rsidR="007D2C31" w:rsidRPr="001D48DE">
        <w:rPr>
          <w:bCs/>
          <w:sz w:val="24"/>
          <w:szCs w:val="24"/>
        </w:rPr>
        <w:t>, UK</w:t>
      </w:r>
      <w:r w:rsidRPr="001D48DE">
        <w:rPr>
          <w:bCs/>
          <w:sz w:val="24"/>
          <w:szCs w:val="24"/>
        </w:rPr>
        <w:t xml:space="preserve">. </w:t>
      </w:r>
    </w:p>
    <w:p w14:paraId="0406770D" w14:textId="77777777" w:rsidR="00726E42" w:rsidRPr="001D48DE" w:rsidRDefault="00726E42" w:rsidP="00726E42">
      <w:pPr>
        <w:widowControl w:val="0"/>
        <w:jc w:val="both"/>
        <w:rPr>
          <w:b/>
          <w:sz w:val="24"/>
          <w:szCs w:val="24"/>
        </w:rPr>
      </w:pPr>
    </w:p>
    <w:p w14:paraId="17506328" w14:textId="77777777" w:rsidR="007D2C31" w:rsidRPr="001D48DE" w:rsidRDefault="00726E42" w:rsidP="00726E42">
      <w:pPr>
        <w:widowControl w:val="0"/>
        <w:ind w:left="1980" w:hanging="2160"/>
        <w:jc w:val="both"/>
        <w:rPr>
          <w:bCs/>
          <w:sz w:val="24"/>
          <w:szCs w:val="24"/>
        </w:rPr>
      </w:pPr>
      <w:r w:rsidRPr="001D48DE">
        <w:rPr>
          <w:b/>
          <w:sz w:val="24"/>
          <w:szCs w:val="24"/>
        </w:rPr>
        <w:t>201</w:t>
      </w:r>
      <w:r w:rsidR="007D2C31" w:rsidRPr="001D48DE">
        <w:rPr>
          <w:b/>
          <w:sz w:val="24"/>
          <w:szCs w:val="24"/>
        </w:rPr>
        <w:t>6-</w:t>
      </w:r>
      <w:r w:rsidRPr="001D48DE">
        <w:rPr>
          <w:b/>
          <w:sz w:val="24"/>
          <w:szCs w:val="24"/>
        </w:rPr>
        <w:t>20</w:t>
      </w:r>
      <w:r w:rsidR="007D2C31" w:rsidRPr="001D48DE">
        <w:rPr>
          <w:b/>
          <w:sz w:val="24"/>
          <w:szCs w:val="24"/>
        </w:rPr>
        <w:t>20</w:t>
      </w:r>
      <w:r w:rsidR="007D2C31" w:rsidRPr="001D48DE">
        <w:rPr>
          <w:b/>
          <w:sz w:val="24"/>
          <w:szCs w:val="24"/>
        </w:rPr>
        <w:tab/>
      </w:r>
      <w:r w:rsidR="007D2C31" w:rsidRPr="001D48DE">
        <w:rPr>
          <w:bCs/>
          <w:sz w:val="24"/>
          <w:szCs w:val="24"/>
        </w:rPr>
        <w:t>Reader in Law, King’s College London, UK</w:t>
      </w:r>
    </w:p>
    <w:p w14:paraId="3B95421B" w14:textId="77777777" w:rsidR="007D2C31" w:rsidRPr="001D48DE" w:rsidRDefault="007D2C31" w:rsidP="00726E42">
      <w:pPr>
        <w:widowControl w:val="0"/>
        <w:ind w:left="1980" w:hanging="2160"/>
        <w:jc w:val="both"/>
        <w:rPr>
          <w:bCs/>
          <w:sz w:val="24"/>
          <w:szCs w:val="24"/>
        </w:rPr>
      </w:pPr>
    </w:p>
    <w:p w14:paraId="559160D5" w14:textId="6419C187" w:rsidR="00726E42" w:rsidRPr="001D48DE" w:rsidRDefault="007D2C31" w:rsidP="007D2C31">
      <w:pPr>
        <w:widowControl w:val="0"/>
        <w:ind w:left="1980" w:hanging="2160"/>
        <w:jc w:val="both"/>
        <w:rPr>
          <w:bCs/>
          <w:sz w:val="24"/>
          <w:szCs w:val="24"/>
        </w:rPr>
      </w:pPr>
      <w:r w:rsidRPr="001D48DE">
        <w:rPr>
          <w:b/>
          <w:sz w:val="24"/>
          <w:szCs w:val="24"/>
        </w:rPr>
        <w:t>201</w:t>
      </w:r>
      <w:r w:rsidR="00491ED1" w:rsidRPr="001D48DE">
        <w:rPr>
          <w:b/>
          <w:sz w:val="24"/>
          <w:szCs w:val="24"/>
        </w:rPr>
        <w:t>1</w:t>
      </w:r>
      <w:r w:rsidRPr="001D48DE">
        <w:rPr>
          <w:b/>
          <w:sz w:val="24"/>
          <w:szCs w:val="24"/>
        </w:rPr>
        <w:t>-2016</w:t>
      </w:r>
      <w:r w:rsidRPr="001D48DE">
        <w:rPr>
          <w:b/>
          <w:sz w:val="24"/>
          <w:szCs w:val="24"/>
        </w:rPr>
        <w:tab/>
      </w:r>
      <w:r w:rsidR="00726E42" w:rsidRPr="001D48DE">
        <w:rPr>
          <w:bCs/>
          <w:sz w:val="24"/>
          <w:szCs w:val="24"/>
        </w:rPr>
        <w:t xml:space="preserve">Associate Professor in Law, University of Southampton, </w:t>
      </w:r>
      <w:r w:rsidRPr="001D48DE">
        <w:rPr>
          <w:bCs/>
          <w:sz w:val="24"/>
          <w:szCs w:val="24"/>
        </w:rPr>
        <w:t>UK</w:t>
      </w:r>
    </w:p>
    <w:p w14:paraId="453CC164" w14:textId="77777777" w:rsidR="00726E42" w:rsidRPr="001D48DE" w:rsidRDefault="00726E42" w:rsidP="00726E42">
      <w:pPr>
        <w:widowControl w:val="0"/>
        <w:tabs>
          <w:tab w:val="left" w:pos="2160"/>
        </w:tabs>
        <w:ind w:left="1980" w:hanging="2160"/>
        <w:jc w:val="both"/>
        <w:rPr>
          <w:b/>
          <w:sz w:val="24"/>
          <w:szCs w:val="24"/>
        </w:rPr>
      </w:pPr>
    </w:p>
    <w:p w14:paraId="46D3F664" w14:textId="6841DA38" w:rsidR="00726E42" w:rsidRPr="001D48DE" w:rsidRDefault="007D2C31" w:rsidP="00726E42">
      <w:pPr>
        <w:widowControl w:val="0"/>
        <w:tabs>
          <w:tab w:val="left" w:pos="2160"/>
        </w:tabs>
        <w:ind w:left="1980" w:hanging="2160"/>
        <w:jc w:val="both"/>
        <w:rPr>
          <w:bCs/>
          <w:sz w:val="24"/>
          <w:szCs w:val="24"/>
        </w:rPr>
      </w:pPr>
      <w:r w:rsidRPr="001D48DE">
        <w:rPr>
          <w:b/>
          <w:sz w:val="24"/>
          <w:szCs w:val="24"/>
        </w:rPr>
        <w:t>2009-2010</w:t>
      </w:r>
      <w:r w:rsidRPr="001D48DE">
        <w:rPr>
          <w:b/>
          <w:sz w:val="24"/>
          <w:szCs w:val="24"/>
        </w:rPr>
        <w:tab/>
      </w:r>
      <w:r w:rsidR="00726E42" w:rsidRPr="001D48DE">
        <w:rPr>
          <w:bCs/>
          <w:sz w:val="24"/>
          <w:szCs w:val="24"/>
        </w:rPr>
        <w:t xml:space="preserve">Lecturer in Law, University of East Anglia, </w:t>
      </w:r>
      <w:r w:rsidRPr="001D48DE">
        <w:rPr>
          <w:bCs/>
          <w:sz w:val="24"/>
          <w:szCs w:val="24"/>
        </w:rPr>
        <w:t>UK</w:t>
      </w:r>
    </w:p>
    <w:p w14:paraId="4CA024BB" w14:textId="3E45ABF4" w:rsidR="00726E42" w:rsidRPr="001D48DE" w:rsidRDefault="00726E42" w:rsidP="00726E42">
      <w:pPr>
        <w:widowControl w:val="0"/>
        <w:tabs>
          <w:tab w:val="left" w:pos="2160"/>
        </w:tabs>
        <w:ind w:left="1980" w:hanging="2160"/>
        <w:jc w:val="both"/>
        <w:rPr>
          <w:b/>
          <w:sz w:val="24"/>
          <w:szCs w:val="24"/>
        </w:rPr>
      </w:pPr>
    </w:p>
    <w:p w14:paraId="718EE4CA" w14:textId="5CD9F512" w:rsidR="00726E42" w:rsidRPr="001D48DE" w:rsidRDefault="007D2C31" w:rsidP="007D2C31">
      <w:pPr>
        <w:widowControl w:val="0"/>
        <w:tabs>
          <w:tab w:val="left" w:pos="2160"/>
        </w:tabs>
        <w:ind w:left="1980" w:hanging="2160"/>
        <w:jc w:val="both"/>
        <w:rPr>
          <w:sz w:val="24"/>
          <w:szCs w:val="24"/>
        </w:rPr>
      </w:pPr>
      <w:r w:rsidRPr="001D48DE">
        <w:rPr>
          <w:b/>
          <w:sz w:val="24"/>
          <w:szCs w:val="24"/>
        </w:rPr>
        <w:t>2002-2005</w:t>
      </w:r>
      <w:r w:rsidRPr="001D48DE">
        <w:rPr>
          <w:b/>
          <w:sz w:val="24"/>
          <w:szCs w:val="24"/>
        </w:rPr>
        <w:tab/>
      </w:r>
      <w:r w:rsidR="00726E42" w:rsidRPr="001D48DE">
        <w:rPr>
          <w:sz w:val="24"/>
          <w:szCs w:val="24"/>
        </w:rPr>
        <w:t xml:space="preserve">Research Assistant, University of Istanbul, </w:t>
      </w:r>
      <w:r w:rsidRPr="001D48DE">
        <w:rPr>
          <w:sz w:val="24"/>
          <w:szCs w:val="24"/>
        </w:rPr>
        <w:t>Turkey</w:t>
      </w:r>
    </w:p>
    <w:p w14:paraId="251093C7" w14:textId="77777777" w:rsidR="00726E42" w:rsidRPr="001D48DE" w:rsidRDefault="00726E42" w:rsidP="00726E42">
      <w:pPr>
        <w:pStyle w:val="Heading3"/>
        <w:rPr>
          <w:bCs/>
          <w:sz w:val="24"/>
          <w:szCs w:val="24"/>
        </w:rPr>
      </w:pPr>
    </w:p>
    <w:p w14:paraId="0801F11E" w14:textId="77777777" w:rsidR="00726E42" w:rsidRPr="001D48DE" w:rsidRDefault="00726E42" w:rsidP="00726E42">
      <w:pPr>
        <w:widowControl w:val="0"/>
        <w:jc w:val="both"/>
        <w:rPr>
          <w:b/>
          <w:sz w:val="24"/>
          <w:szCs w:val="24"/>
        </w:rPr>
      </w:pPr>
    </w:p>
    <w:p w14:paraId="51337C5C" w14:textId="77777777" w:rsidR="00EA1AAD" w:rsidRPr="001D48DE" w:rsidRDefault="00EA1AAD" w:rsidP="00EA0669">
      <w:pPr>
        <w:pStyle w:val="Heading3"/>
        <w:rPr>
          <w:sz w:val="24"/>
          <w:szCs w:val="24"/>
        </w:rPr>
      </w:pPr>
    </w:p>
    <w:p w14:paraId="0DBBDAF6" w14:textId="77777777" w:rsidR="00EA1AAD" w:rsidRPr="001D48DE" w:rsidRDefault="00EA1AAD" w:rsidP="00EA1AAD"/>
    <w:p w14:paraId="12E49981" w14:textId="77777777" w:rsidR="00491ED1" w:rsidRPr="001D48DE" w:rsidRDefault="00491ED1" w:rsidP="00EA0669">
      <w:pPr>
        <w:widowControl w:val="0"/>
        <w:ind w:left="-180" w:firstLine="180"/>
        <w:jc w:val="both"/>
        <w:rPr>
          <w:sz w:val="24"/>
          <w:szCs w:val="24"/>
        </w:rPr>
      </w:pPr>
    </w:p>
    <w:p w14:paraId="7ACBD619" w14:textId="3CB289CA" w:rsidR="00EA1AAD" w:rsidRPr="001D48DE" w:rsidRDefault="00EA1AAD" w:rsidP="00EA1AAD">
      <w:pPr>
        <w:pStyle w:val="Heading3"/>
        <w:rPr>
          <w:sz w:val="24"/>
          <w:szCs w:val="24"/>
        </w:rPr>
      </w:pPr>
      <w:r w:rsidRPr="001D48DE">
        <w:rPr>
          <w:sz w:val="24"/>
          <w:szCs w:val="24"/>
        </w:rPr>
        <w:t xml:space="preserve">MEMBERSHIP – EXTERNAL </w:t>
      </w:r>
    </w:p>
    <w:p w14:paraId="1624BBF8" w14:textId="77777777" w:rsidR="00EA1AAD" w:rsidRPr="001D48DE" w:rsidRDefault="00EA1AAD" w:rsidP="00EA1AAD"/>
    <w:p w14:paraId="6D211E99" w14:textId="77777777" w:rsidR="00EA1AAD" w:rsidRPr="001D48DE" w:rsidRDefault="00EA1AAD" w:rsidP="00EA1AAD"/>
    <w:p w14:paraId="2740FDD7" w14:textId="577D26C3" w:rsidR="00EA1AAD" w:rsidRDefault="00EA1AAD" w:rsidP="00CE6E8E">
      <w:pPr>
        <w:widowControl w:val="0"/>
        <w:ind w:left="-180" w:firstLine="180"/>
        <w:jc w:val="both"/>
        <w:rPr>
          <w:sz w:val="24"/>
          <w:szCs w:val="24"/>
        </w:rPr>
      </w:pPr>
      <w:r w:rsidRPr="001D48DE">
        <w:rPr>
          <w:sz w:val="24"/>
          <w:szCs w:val="24"/>
        </w:rPr>
        <w:t xml:space="preserve">Vice – chair : British Insurance Law Association </w:t>
      </w:r>
    </w:p>
    <w:p w14:paraId="2B43842A" w14:textId="77777777" w:rsidR="00CE6E8E" w:rsidRPr="001D48DE" w:rsidRDefault="00CE6E8E" w:rsidP="00CE6E8E">
      <w:pPr>
        <w:widowControl w:val="0"/>
        <w:ind w:left="-180" w:firstLine="180"/>
        <w:jc w:val="both"/>
        <w:rPr>
          <w:sz w:val="24"/>
          <w:szCs w:val="24"/>
        </w:rPr>
      </w:pPr>
    </w:p>
    <w:p w14:paraId="656FC071" w14:textId="2D12D16A" w:rsidR="00726E42" w:rsidRPr="001D48DE" w:rsidRDefault="00EA1AAD" w:rsidP="00CE6E8E">
      <w:pPr>
        <w:widowControl w:val="0"/>
        <w:jc w:val="both"/>
        <w:rPr>
          <w:sz w:val="24"/>
          <w:szCs w:val="24"/>
        </w:rPr>
      </w:pPr>
      <w:r w:rsidRPr="001D48DE">
        <w:rPr>
          <w:sz w:val="24"/>
          <w:szCs w:val="24"/>
        </w:rPr>
        <w:t xml:space="preserve">Chair: </w:t>
      </w:r>
      <w:r w:rsidR="00726E42" w:rsidRPr="001D48DE">
        <w:rPr>
          <w:sz w:val="24"/>
          <w:szCs w:val="24"/>
        </w:rPr>
        <w:t xml:space="preserve">Reinsurance Working Party </w:t>
      </w:r>
      <w:r w:rsidR="007342B2" w:rsidRPr="001D48DE">
        <w:rPr>
          <w:sz w:val="24"/>
          <w:szCs w:val="24"/>
        </w:rPr>
        <w:t xml:space="preserve">of </w:t>
      </w:r>
      <w:r w:rsidR="00726E42" w:rsidRPr="001D48DE">
        <w:rPr>
          <w:sz w:val="24"/>
          <w:szCs w:val="24"/>
        </w:rPr>
        <w:t>AIDA</w:t>
      </w:r>
    </w:p>
    <w:p w14:paraId="78A73C70" w14:textId="77777777" w:rsidR="00726E42" w:rsidRPr="001D48DE" w:rsidRDefault="00726E42" w:rsidP="00EA1AAD">
      <w:pPr>
        <w:widowControl w:val="0"/>
        <w:jc w:val="both"/>
        <w:rPr>
          <w:sz w:val="24"/>
          <w:szCs w:val="24"/>
        </w:rPr>
      </w:pPr>
    </w:p>
    <w:p w14:paraId="56B5474C" w14:textId="57D8B9DE" w:rsidR="00726E42" w:rsidRPr="001D48DE" w:rsidRDefault="00726E42" w:rsidP="00EA1AAD">
      <w:pPr>
        <w:widowControl w:val="0"/>
        <w:ind w:left="-180" w:firstLine="180"/>
        <w:jc w:val="both"/>
        <w:rPr>
          <w:sz w:val="24"/>
          <w:szCs w:val="24"/>
        </w:rPr>
      </w:pPr>
      <w:r w:rsidRPr="001D48DE">
        <w:rPr>
          <w:sz w:val="24"/>
          <w:szCs w:val="24"/>
        </w:rPr>
        <w:t xml:space="preserve">Society of Legal Scholars </w:t>
      </w:r>
    </w:p>
    <w:p w14:paraId="53327E2B" w14:textId="77777777" w:rsidR="00EA1AAD" w:rsidRPr="001D48DE" w:rsidRDefault="00EA1AAD" w:rsidP="00EA1AAD">
      <w:pPr>
        <w:widowControl w:val="0"/>
        <w:ind w:left="-180" w:firstLine="180"/>
        <w:jc w:val="both"/>
        <w:rPr>
          <w:sz w:val="24"/>
          <w:szCs w:val="24"/>
        </w:rPr>
      </w:pPr>
    </w:p>
    <w:p w14:paraId="6C0A1539" w14:textId="18C8694D" w:rsidR="00EA1AAD" w:rsidRPr="001D48DE" w:rsidRDefault="00EA1AAD" w:rsidP="00EA1AAD">
      <w:pPr>
        <w:widowControl w:val="0"/>
        <w:ind w:left="-180" w:firstLine="180"/>
        <w:jc w:val="both"/>
        <w:rPr>
          <w:sz w:val="24"/>
          <w:szCs w:val="24"/>
        </w:rPr>
      </w:pPr>
      <w:r w:rsidRPr="001D48DE">
        <w:rPr>
          <w:sz w:val="24"/>
          <w:szCs w:val="24"/>
        </w:rPr>
        <w:t xml:space="preserve">Academic Fellow: Centre for Maritime Law, National University of Singapore </w:t>
      </w:r>
    </w:p>
    <w:p w14:paraId="4DF94607" w14:textId="77777777" w:rsidR="00EA1AAD" w:rsidRPr="001D48DE" w:rsidRDefault="00EA1AAD" w:rsidP="00EA1AAD">
      <w:pPr>
        <w:widowControl w:val="0"/>
        <w:ind w:left="-180" w:firstLine="180"/>
        <w:jc w:val="both"/>
        <w:rPr>
          <w:sz w:val="24"/>
          <w:szCs w:val="24"/>
        </w:rPr>
      </w:pPr>
    </w:p>
    <w:p w14:paraId="37E3377E" w14:textId="77777777" w:rsidR="00EA1AAD" w:rsidRPr="001D48DE" w:rsidRDefault="00EA1AAD" w:rsidP="00BB412E">
      <w:pPr>
        <w:widowControl w:val="0"/>
        <w:jc w:val="both"/>
        <w:rPr>
          <w:sz w:val="24"/>
          <w:szCs w:val="24"/>
        </w:rPr>
      </w:pPr>
    </w:p>
    <w:p w14:paraId="55E73146" w14:textId="77777777" w:rsidR="00EA1AAD" w:rsidRPr="001D48DE" w:rsidRDefault="00EA1AAD" w:rsidP="00EA1AAD">
      <w:pPr>
        <w:widowControl w:val="0"/>
        <w:ind w:left="-180" w:firstLine="180"/>
        <w:jc w:val="both"/>
        <w:rPr>
          <w:sz w:val="24"/>
          <w:szCs w:val="24"/>
        </w:rPr>
      </w:pPr>
    </w:p>
    <w:p w14:paraId="3CB5D446" w14:textId="77777777" w:rsidR="00EA0669" w:rsidRPr="001D48DE" w:rsidRDefault="00EA0669" w:rsidP="00EA0669">
      <w:pPr>
        <w:widowControl w:val="0"/>
        <w:ind w:left="-180" w:firstLine="180"/>
        <w:jc w:val="both"/>
        <w:rPr>
          <w:sz w:val="24"/>
          <w:szCs w:val="24"/>
        </w:rPr>
      </w:pPr>
    </w:p>
    <w:p w14:paraId="61AF576A" w14:textId="77777777" w:rsidR="00EA0669" w:rsidRPr="001D48DE" w:rsidRDefault="00EA0669" w:rsidP="00EA0669">
      <w:pPr>
        <w:pStyle w:val="Heading3"/>
        <w:rPr>
          <w:sz w:val="24"/>
          <w:szCs w:val="24"/>
        </w:rPr>
      </w:pPr>
    </w:p>
    <w:p w14:paraId="4E126069" w14:textId="7819800B" w:rsidR="00726E42" w:rsidRPr="001D48DE" w:rsidRDefault="00726E42" w:rsidP="00EA0669">
      <w:pPr>
        <w:pStyle w:val="Heading3"/>
        <w:rPr>
          <w:sz w:val="24"/>
          <w:szCs w:val="24"/>
        </w:rPr>
      </w:pPr>
      <w:r w:rsidRPr="001D48DE">
        <w:rPr>
          <w:sz w:val="24"/>
          <w:szCs w:val="24"/>
        </w:rPr>
        <w:t xml:space="preserve">PUBLICATIONS </w:t>
      </w:r>
    </w:p>
    <w:p w14:paraId="320986FE" w14:textId="77777777" w:rsidR="00726E42" w:rsidRPr="001D48DE" w:rsidRDefault="00726E42" w:rsidP="00726E42">
      <w:pPr>
        <w:rPr>
          <w:sz w:val="24"/>
          <w:szCs w:val="24"/>
        </w:rPr>
      </w:pPr>
    </w:p>
    <w:p w14:paraId="328C98DD" w14:textId="77777777" w:rsidR="00726E42" w:rsidRPr="001D48DE" w:rsidRDefault="00726E42" w:rsidP="00726E42">
      <w:pPr>
        <w:rPr>
          <w:sz w:val="24"/>
          <w:szCs w:val="24"/>
        </w:rPr>
      </w:pPr>
    </w:p>
    <w:p w14:paraId="56D120EA" w14:textId="77777777" w:rsidR="00726E42" w:rsidRPr="001D48DE" w:rsidRDefault="00726E42" w:rsidP="00726E42">
      <w:pPr>
        <w:rPr>
          <w:b/>
          <w:bCs/>
          <w:sz w:val="24"/>
          <w:szCs w:val="24"/>
        </w:rPr>
      </w:pPr>
      <w:r w:rsidRPr="001D48DE">
        <w:rPr>
          <w:b/>
          <w:bCs/>
          <w:sz w:val="24"/>
          <w:szCs w:val="24"/>
        </w:rPr>
        <w:t xml:space="preserve">BOOKS </w:t>
      </w:r>
    </w:p>
    <w:p w14:paraId="2FE8878D" w14:textId="77777777" w:rsidR="00726E42" w:rsidRPr="001D48DE" w:rsidRDefault="00726E42" w:rsidP="00726E42">
      <w:pPr>
        <w:rPr>
          <w:sz w:val="24"/>
          <w:szCs w:val="24"/>
        </w:rPr>
      </w:pPr>
    </w:p>
    <w:p w14:paraId="37F49C15" w14:textId="77777777" w:rsidR="00CE6E8E" w:rsidRDefault="00285EAC" w:rsidP="00EE2707">
      <w:pPr>
        <w:pStyle w:val="CVNormal-FirstLine"/>
        <w:numPr>
          <w:ilvl w:val="0"/>
          <w:numId w:val="2"/>
        </w:numPr>
        <w:rPr>
          <w:rFonts w:ascii="Times New Roman" w:hAnsi="Times New Roman"/>
          <w:sz w:val="24"/>
          <w:szCs w:val="24"/>
        </w:rPr>
      </w:pPr>
      <w:r>
        <w:rPr>
          <w:rFonts w:ascii="Times New Roman" w:hAnsi="Times New Roman"/>
          <w:sz w:val="24"/>
          <w:szCs w:val="24"/>
        </w:rPr>
        <w:t>Edward Elgar Encyclopedia on Maritime and Oceans Law, Editor of Vol 4, Marine Insurance Law.</w:t>
      </w:r>
    </w:p>
    <w:p w14:paraId="5D0D56AA" w14:textId="77777777" w:rsidR="00CE6E8E" w:rsidRPr="00CE6E8E" w:rsidRDefault="00CE6E8E" w:rsidP="00CE6E8E">
      <w:pPr>
        <w:pStyle w:val="CVNormal"/>
        <w:ind w:left="0"/>
      </w:pPr>
    </w:p>
    <w:p w14:paraId="66F40353" w14:textId="5C865D93" w:rsidR="00285EAC" w:rsidRDefault="00CE6E8E" w:rsidP="00CE6E8E">
      <w:pPr>
        <w:pStyle w:val="CVNormal-FirstLine"/>
        <w:numPr>
          <w:ilvl w:val="0"/>
          <w:numId w:val="2"/>
        </w:numPr>
        <w:rPr>
          <w:rFonts w:ascii="Times New Roman" w:hAnsi="Times New Roman"/>
          <w:sz w:val="24"/>
          <w:szCs w:val="24"/>
        </w:rPr>
      </w:pPr>
      <w:r w:rsidRPr="001D48DE">
        <w:rPr>
          <w:rFonts w:ascii="Times New Roman" w:hAnsi="Times New Roman"/>
          <w:sz w:val="24"/>
          <w:szCs w:val="24"/>
        </w:rPr>
        <w:t>Reinsuring Clauses, Informa, 2</w:t>
      </w:r>
      <w:r w:rsidRPr="001D48DE">
        <w:rPr>
          <w:rFonts w:ascii="Times New Roman" w:hAnsi="Times New Roman"/>
          <w:sz w:val="24"/>
          <w:szCs w:val="24"/>
          <w:vertAlign w:val="superscript"/>
        </w:rPr>
        <w:t>nd</w:t>
      </w:r>
      <w:r w:rsidRPr="001D48DE">
        <w:rPr>
          <w:rFonts w:ascii="Times New Roman" w:hAnsi="Times New Roman"/>
          <w:sz w:val="24"/>
          <w:szCs w:val="24"/>
        </w:rPr>
        <w:t xml:space="preserve"> ed., 2025. </w:t>
      </w:r>
    </w:p>
    <w:p w14:paraId="5019E028" w14:textId="77777777" w:rsidR="00CE6E8E" w:rsidRPr="00CE6E8E" w:rsidRDefault="00CE6E8E" w:rsidP="00CE6E8E">
      <w:pPr>
        <w:pStyle w:val="CVNormal"/>
      </w:pPr>
    </w:p>
    <w:p w14:paraId="5FCF537B" w14:textId="7FADDE52" w:rsidR="00675BFD" w:rsidRPr="001D48DE" w:rsidRDefault="00675BFD" w:rsidP="00EE2707">
      <w:pPr>
        <w:pStyle w:val="CVNormal-FirstLine"/>
        <w:numPr>
          <w:ilvl w:val="0"/>
          <w:numId w:val="2"/>
        </w:numPr>
        <w:rPr>
          <w:rFonts w:ascii="Times New Roman" w:hAnsi="Times New Roman"/>
          <w:sz w:val="24"/>
          <w:szCs w:val="24"/>
        </w:rPr>
      </w:pPr>
      <w:r w:rsidRPr="001D48DE">
        <w:rPr>
          <w:rFonts w:ascii="Times New Roman" w:hAnsi="Times New Roman"/>
          <w:sz w:val="24"/>
          <w:szCs w:val="24"/>
        </w:rPr>
        <w:t xml:space="preserve">Insurability of Emerging Risks – Law, Theory and Practice (co-editor with Professor B Soyer), </w:t>
      </w:r>
      <w:r w:rsidR="005B6A92" w:rsidRPr="001D48DE">
        <w:rPr>
          <w:rFonts w:ascii="Times New Roman" w:hAnsi="Times New Roman"/>
          <w:sz w:val="24"/>
          <w:szCs w:val="24"/>
        </w:rPr>
        <w:t>Bloomsbury, 202</w:t>
      </w:r>
      <w:r w:rsidR="00BB412E">
        <w:rPr>
          <w:rFonts w:ascii="Times New Roman" w:hAnsi="Times New Roman"/>
          <w:sz w:val="24"/>
          <w:szCs w:val="24"/>
        </w:rPr>
        <w:t>5</w:t>
      </w:r>
      <w:r w:rsidR="005B6A92" w:rsidRPr="001D48DE">
        <w:rPr>
          <w:rFonts w:ascii="Times New Roman" w:hAnsi="Times New Roman"/>
          <w:sz w:val="24"/>
          <w:szCs w:val="24"/>
        </w:rPr>
        <w:t>.</w:t>
      </w:r>
    </w:p>
    <w:p w14:paraId="05066218" w14:textId="77777777" w:rsidR="005B6A92" w:rsidRPr="001D48DE" w:rsidRDefault="005B6A92" w:rsidP="005B6A92">
      <w:pPr>
        <w:pStyle w:val="CVNormal"/>
      </w:pPr>
    </w:p>
    <w:p w14:paraId="1F01BADE" w14:textId="60EDDF39" w:rsidR="00675BFD" w:rsidRPr="001D48DE" w:rsidRDefault="00675BFD" w:rsidP="00EE2707">
      <w:pPr>
        <w:pStyle w:val="CVNormal-FirstLine"/>
        <w:numPr>
          <w:ilvl w:val="0"/>
          <w:numId w:val="2"/>
        </w:numPr>
        <w:rPr>
          <w:rFonts w:ascii="Times New Roman" w:hAnsi="Times New Roman"/>
          <w:sz w:val="24"/>
          <w:szCs w:val="24"/>
        </w:rPr>
      </w:pPr>
      <w:r w:rsidRPr="001D48DE">
        <w:rPr>
          <w:rFonts w:ascii="Times New Roman" w:hAnsi="Times New Roman"/>
          <w:sz w:val="24"/>
          <w:szCs w:val="24"/>
        </w:rPr>
        <w:t>Edward Elgar Research Handbook on Marine Insurance Law (editor) 2024</w:t>
      </w:r>
      <w:r w:rsidR="005B6A92" w:rsidRPr="001D48DE">
        <w:rPr>
          <w:rFonts w:ascii="Times New Roman" w:hAnsi="Times New Roman"/>
          <w:sz w:val="24"/>
          <w:szCs w:val="24"/>
        </w:rPr>
        <w:t>.</w:t>
      </w:r>
    </w:p>
    <w:p w14:paraId="3D4ABC4D" w14:textId="77777777" w:rsidR="005B6A92" w:rsidRPr="001D48DE" w:rsidRDefault="005B6A92" w:rsidP="005B6A92">
      <w:pPr>
        <w:pStyle w:val="CVNormal"/>
      </w:pPr>
    </w:p>
    <w:p w14:paraId="5D0FC53A" w14:textId="7046102D" w:rsidR="00491ED1" w:rsidRPr="001D48DE" w:rsidRDefault="00EE2707" w:rsidP="00675BFD">
      <w:pPr>
        <w:pStyle w:val="CVNormal-FirstLine"/>
        <w:numPr>
          <w:ilvl w:val="0"/>
          <w:numId w:val="2"/>
        </w:numPr>
        <w:rPr>
          <w:rFonts w:ascii="Times New Roman" w:hAnsi="Times New Roman"/>
          <w:sz w:val="24"/>
          <w:szCs w:val="24"/>
        </w:rPr>
      </w:pPr>
      <w:r w:rsidRPr="001D48DE">
        <w:rPr>
          <w:rFonts w:ascii="Times New Roman" w:hAnsi="Times New Roman"/>
          <w:sz w:val="24"/>
          <w:szCs w:val="24"/>
        </w:rPr>
        <w:t>Marine Insurance Law, – 3rd ed, 2023, Routledge.</w:t>
      </w:r>
    </w:p>
    <w:p w14:paraId="73C28F5B" w14:textId="77777777" w:rsidR="00491ED1" w:rsidRPr="001D48DE" w:rsidRDefault="00491ED1" w:rsidP="00491ED1">
      <w:pPr>
        <w:pStyle w:val="CVNormal"/>
      </w:pPr>
    </w:p>
    <w:p w14:paraId="31F86EB1" w14:textId="1A62D846" w:rsidR="00EA0669" w:rsidRPr="001D48DE" w:rsidRDefault="00EA0669" w:rsidP="009D27BC">
      <w:pPr>
        <w:pStyle w:val="CVNormal-FirstLine"/>
        <w:numPr>
          <w:ilvl w:val="0"/>
          <w:numId w:val="2"/>
        </w:numPr>
        <w:rPr>
          <w:rFonts w:ascii="Times New Roman" w:hAnsi="Times New Roman"/>
          <w:sz w:val="24"/>
          <w:szCs w:val="24"/>
        </w:rPr>
      </w:pPr>
      <w:r w:rsidRPr="001D48DE">
        <w:rPr>
          <w:rFonts w:ascii="Times New Roman" w:hAnsi="Times New Roman"/>
          <w:sz w:val="24"/>
          <w:szCs w:val="24"/>
        </w:rPr>
        <w:t xml:space="preserve">The Law of Compulsory </w:t>
      </w:r>
      <w:r w:rsidR="00F038FB" w:rsidRPr="001D48DE">
        <w:rPr>
          <w:rFonts w:ascii="Times New Roman" w:hAnsi="Times New Roman"/>
          <w:sz w:val="24"/>
          <w:szCs w:val="24"/>
        </w:rPr>
        <w:t>Motor Vehicle Insurance, Informa, 2019</w:t>
      </w:r>
    </w:p>
    <w:p w14:paraId="4905F4A0" w14:textId="77777777" w:rsidR="00726E42" w:rsidRPr="001D48DE" w:rsidRDefault="00726E42" w:rsidP="007342B2">
      <w:pPr>
        <w:pStyle w:val="CVNormal"/>
        <w:ind w:left="0"/>
      </w:pPr>
    </w:p>
    <w:p w14:paraId="34F758F0" w14:textId="77777777" w:rsidR="00726E42" w:rsidRPr="001D48DE" w:rsidRDefault="00726E42" w:rsidP="00726E42">
      <w:pPr>
        <w:pStyle w:val="CVNormal"/>
      </w:pPr>
    </w:p>
    <w:p w14:paraId="594919FF" w14:textId="77777777" w:rsidR="00726E42" w:rsidRPr="001D48DE" w:rsidRDefault="00726E42" w:rsidP="00726E42">
      <w:pPr>
        <w:pStyle w:val="CVNormal"/>
        <w:ind w:left="180"/>
        <w:rPr>
          <w:rFonts w:ascii="Times New Roman" w:hAnsi="Times New Roman"/>
          <w:sz w:val="24"/>
          <w:szCs w:val="24"/>
        </w:rPr>
      </w:pPr>
    </w:p>
    <w:p w14:paraId="647728D8" w14:textId="4DCEC8BB" w:rsidR="00726E42" w:rsidRPr="001D48DE" w:rsidRDefault="00491ED1" w:rsidP="00726E42">
      <w:pPr>
        <w:pStyle w:val="CVNormal"/>
        <w:ind w:left="0"/>
        <w:rPr>
          <w:rFonts w:ascii="Times New Roman" w:hAnsi="Times New Roman"/>
          <w:b/>
          <w:bCs/>
          <w:sz w:val="24"/>
          <w:szCs w:val="24"/>
        </w:rPr>
      </w:pPr>
      <w:r w:rsidRPr="001D48DE">
        <w:rPr>
          <w:rFonts w:ascii="Times New Roman" w:hAnsi="Times New Roman"/>
          <w:b/>
          <w:bCs/>
          <w:sz w:val="24"/>
          <w:szCs w:val="24"/>
        </w:rPr>
        <w:t xml:space="preserve">RECENT </w:t>
      </w:r>
      <w:r w:rsidR="00726E42" w:rsidRPr="001D48DE">
        <w:rPr>
          <w:rFonts w:ascii="Times New Roman" w:hAnsi="Times New Roman"/>
          <w:b/>
          <w:bCs/>
          <w:sz w:val="24"/>
          <w:szCs w:val="24"/>
        </w:rPr>
        <w:t xml:space="preserve">BOOK CHAPTERS </w:t>
      </w:r>
      <w:r w:rsidR="000A090A" w:rsidRPr="001D48DE">
        <w:rPr>
          <w:rFonts w:ascii="Times New Roman" w:hAnsi="Times New Roman"/>
          <w:b/>
          <w:bCs/>
          <w:sz w:val="24"/>
          <w:szCs w:val="24"/>
        </w:rPr>
        <w:t xml:space="preserve">/ JOURNAL ARTICLES </w:t>
      </w:r>
    </w:p>
    <w:p w14:paraId="4A66E52C" w14:textId="77777777" w:rsidR="00726E42" w:rsidRPr="001D48DE" w:rsidRDefault="00726E42" w:rsidP="00726E42">
      <w:pPr>
        <w:pStyle w:val="CVNormal"/>
        <w:ind w:left="0"/>
        <w:rPr>
          <w:rFonts w:ascii="Times New Roman" w:hAnsi="Times New Roman"/>
          <w:b/>
          <w:bCs/>
          <w:sz w:val="24"/>
          <w:szCs w:val="24"/>
          <w:lang w:eastAsia="en-GB"/>
        </w:rPr>
      </w:pPr>
    </w:p>
    <w:p w14:paraId="7B8F8E54" w14:textId="7A82B098" w:rsidR="005B6A92" w:rsidRPr="001D48DE" w:rsidRDefault="005B6A92" w:rsidP="00EA1AAD">
      <w:pPr>
        <w:pStyle w:val="CVNormal"/>
        <w:numPr>
          <w:ilvl w:val="0"/>
          <w:numId w:val="3"/>
        </w:numPr>
        <w:rPr>
          <w:rFonts w:ascii="Times New Roman" w:hAnsi="Times New Roman"/>
          <w:b/>
          <w:bCs/>
          <w:sz w:val="24"/>
          <w:szCs w:val="24"/>
        </w:rPr>
      </w:pPr>
      <w:r w:rsidRPr="001D48DE">
        <w:rPr>
          <w:rFonts w:ascii="Times New Roman" w:hAnsi="Times New Roman"/>
          <w:sz w:val="24"/>
          <w:szCs w:val="24"/>
        </w:rPr>
        <w:t xml:space="preserve">‘Co-insured’s subrogation immunity </w:t>
      </w:r>
      <w:r w:rsidR="00D377E3">
        <w:rPr>
          <w:rFonts w:ascii="Times New Roman" w:hAnsi="Times New Roman"/>
          <w:sz w:val="24"/>
          <w:szCs w:val="24"/>
        </w:rPr>
        <w:t>– How to express it, and not to draft the underlying contract to make sure it arises. (Conference paper presented at Swansea Colloquium in September 2024, the conference papers will be published by Informa in 202</w:t>
      </w:r>
      <w:r w:rsidR="00D15BC2">
        <w:rPr>
          <w:rFonts w:ascii="Times New Roman" w:hAnsi="Times New Roman"/>
          <w:sz w:val="24"/>
          <w:szCs w:val="24"/>
        </w:rPr>
        <w:t>6</w:t>
      </w:r>
      <w:r w:rsidR="00D377E3">
        <w:rPr>
          <w:rFonts w:ascii="Times New Roman" w:hAnsi="Times New Roman"/>
          <w:sz w:val="24"/>
          <w:szCs w:val="24"/>
        </w:rPr>
        <w:t xml:space="preserve">). </w:t>
      </w:r>
    </w:p>
    <w:p w14:paraId="1AB0032A" w14:textId="4D5436E8" w:rsidR="005B6A92" w:rsidRPr="001D48DE" w:rsidRDefault="005B6A92" w:rsidP="005B6A92">
      <w:pPr>
        <w:pStyle w:val="CVNormal"/>
        <w:ind w:left="644"/>
        <w:rPr>
          <w:rFonts w:ascii="Times New Roman" w:hAnsi="Times New Roman"/>
          <w:sz w:val="24"/>
          <w:szCs w:val="24"/>
        </w:rPr>
      </w:pPr>
    </w:p>
    <w:p w14:paraId="7A88E888" w14:textId="5EB396D9" w:rsidR="005B6A92" w:rsidRPr="001D48DE" w:rsidRDefault="005B6A92" w:rsidP="00480D84">
      <w:pPr>
        <w:pStyle w:val="CVNormal"/>
        <w:numPr>
          <w:ilvl w:val="0"/>
          <w:numId w:val="3"/>
        </w:numPr>
        <w:rPr>
          <w:rFonts w:ascii="Times New Roman" w:hAnsi="Times New Roman"/>
          <w:sz w:val="24"/>
          <w:szCs w:val="24"/>
        </w:rPr>
      </w:pPr>
      <w:r w:rsidRPr="001D48DE">
        <w:rPr>
          <w:rFonts w:ascii="Times New Roman" w:hAnsi="Times New Roman"/>
          <w:sz w:val="24"/>
          <w:szCs w:val="24"/>
        </w:rPr>
        <w:t xml:space="preserve">‘Public Private Partnerships: Providing Capital for Un-affordable Insurance Risks’, </w:t>
      </w:r>
      <w:r w:rsidRPr="001D48DE">
        <w:rPr>
          <w:rFonts w:ascii="Times New Roman" w:hAnsi="Times New Roman"/>
          <w:i/>
          <w:iCs/>
          <w:sz w:val="24"/>
          <w:szCs w:val="24"/>
        </w:rPr>
        <w:t>Insurability of Emerging Risks – Law, Theory and Practice</w:t>
      </w:r>
      <w:r w:rsidRPr="001D48DE">
        <w:rPr>
          <w:rFonts w:ascii="Times New Roman" w:hAnsi="Times New Roman"/>
          <w:sz w:val="24"/>
          <w:szCs w:val="24"/>
        </w:rPr>
        <w:t>, 2024, Chapter 1, pp 9-31.</w:t>
      </w:r>
    </w:p>
    <w:p w14:paraId="07F6E1F0" w14:textId="77777777" w:rsidR="005B6A92" w:rsidRPr="001D48DE" w:rsidRDefault="005B6A92" w:rsidP="005B6A92">
      <w:pPr>
        <w:pStyle w:val="CVNormal"/>
        <w:ind w:left="644"/>
        <w:rPr>
          <w:rFonts w:ascii="Times New Roman" w:hAnsi="Times New Roman"/>
          <w:sz w:val="24"/>
          <w:szCs w:val="24"/>
        </w:rPr>
      </w:pPr>
    </w:p>
    <w:p w14:paraId="0DC312A2" w14:textId="6F7870B6" w:rsidR="00E06A40" w:rsidRPr="001D48DE" w:rsidRDefault="00E06A40" w:rsidP="00480D84">
      <w:pPr>
        <w:pStyle w:val="CVNormal"/>
        <w:numPr>
          <w:ilvl w:val="0"/>
          <w:numId w:val="3"/>
        </w:numPr>
        <w:rPr>
          <w:rFonts w:ascii="Times New Roman" w:hAnsi="Times New Roman"/>
          <w:sz w:val="24"/>
          <w:szCs w:val="24"/>
        </w:rPr>
      </w:pPr>
      <w:r w:rsidRPr="001D48DE">
        <w:rPr>
          <w:rFonts w:ascii="Times New Roman" w:hAnsi="Times New Roman"/>
          <w:sz w:val="24"/>
          <w:szCs w:val="24"/>
        </w:rPr>
        <w:t xml:space="preserve">‘Demystifying Insurtech’ </w:t>
      </w:r>
      <w:r w:rsidRPr="001D48DE">
        <w:rPr>
          <w:rFonts w:ascii="Times New Roman" w:hAnsi="Times New Roman"/>
          <w:i/>
          <w:iCs/>
          <w:sz w:val="24"/>
          <w:szCs w:val="24"/>
        </w:rPr>
        <w:t>Cambridge Handbook of Private Law and AI</w:t>
      </w:r>
      <w:r w:rsidR="00DE2616" w:rsidRPr="001D48DE">
        <w:rPr>
          <w:rFonts w:ascii="Times New Roman" w:hAnsi="Times New Roman"/>
          <w:sz w:val="24"/>
          <w:szCs w:val="24"/>
        </w:rPr>
        <w:t>, ed by Phillip Morgan and Ernest Lim, CUP,</w:t>
      </w:r>
      <w:r w:rsidRPr="001D48DE">
        <w:rPr>
          <w:rFonts w:ascii="Times New Roman" w:hAnsi="Times New Roman"/>
          <w:sz w:val="24"/>
          <w:szCs w:val="24"/>
        </w:rPr>
        <w:t xml:space="preserve"> </w:t>
      </w:r>
      <w:r w:rsidR="004B1CE5" w:rsidRPr="001D48DE">
        <w:rPr>
          <w:rFonts w:ascii="Times New Roman" w:hAnsi="Times New Roman"/>
          <w:sz w:val="24"/>
          <w:szCs w:val="24"/>
        </w:rPr>
        <w:t>2024</w:t>
      </w:r>
      <w:r w:rsidR="00DE2616" w:rsidRPr="001D48DE">
        <w:rPr>
          <w:rFonts w:ascii="Times New Roman" w:hAnsi="Times New Roman"/>
          <w:sz w:val="24"/>
          <w:szCs w:val="24"/>
        </w:rPr>
        <w:t xml:space="preserve">, Chapter 24, </w:t>
      </w:r>
      <w:r w:rsidR="00F0082F" w:rsidRPr="001D48DE">
        <w:rPr>
          <w:rFonts w:ascii="Times New Roman" w:hAnsi="Times New Roman"/>
          <w:sz w:val="24"/>
          <w:szCs w:val="24"/>
        </w:rPr>
        <w:t xml:space="preserve">pp </w:t>
      </w:r>
      <w:r w:rsidR="00DE2616" w:rsidRPr="001D48DE">
        <w:rPr>
          <w:rFonts w:ascii="Times New Roman" w:hAnsi="Times New Roman"/>
          <w:sz w:val="24"/>
          <w:szCs w:val="24"/>
        </w:rPr>
        <w:t>534-557</w:t>
      </w:r>
      <w:r w:rsidR="00F0082F" w:rsidRPr="001D48DE">
        <w:rPr>
          <w:rFonts w:ascii="Times New Roman" w:hAnsi="Times New Roman"/>
          <w:sz w:val="24"/>
          <w:szCs w:val="24"/>
        </w:rPr>
        <w:t>.</w:t>
      </w:r>
    </w:p>
    <w:p w14:paraId="2826266A" w14:textId="77777777" w:rsidR="004B1CE5" w:rsidRPr="001D48DE" w:rsidRDefault="004B1CE5" w:rsidP="004B1CE5">
      <w:pPr>
        <w:pStyle w:val="CVNormal"/>
        <w:ind w:left="720"/>
        <w:rPr>
          <w:rFonts w:ascii="Times New Roman" w:hAnsi="Times New Roman"/>
          <w:sz w:val="24"/>
          <w:szCs w:val="24"/>
        </w:rPr>
      </w:pPr>
    </w:p>
    <w:p w14:paraId="02886C86" w14:textId="52914F2E" w:rsidR="004B1CE5" w:rsidRPr="001D48DE" w:rsidRDefault="004B1CE5" w:rsidP="004B1CE5">
      <w:pPr>
        <w:pStyle w:val="ListParagraph"/>
        <w:numPr>
          <w:ilvl w:val="0"/>
          <w:numId w:val="3"/>
        </w:numPr>
        <w:rPr>
          <w:sz w:val="24"/>
          <w:szCs w:val="24"/>
        </w:rPr>
      </w:pPr>
      <w:r w:rsidRPr="001D48DE">
        <w:rPr>
          <w:sz w:val="24"/>
          <w:szCs w:val="24"/>
          <w:bdr w:val="none" w:sz="0" w:space="0" w:color="auto" w:frame="1"/>
          <w:shd w:val="clear" w:color="auto" w:fill="FFFFFF"/>
        </w:rPr>
        <w:t>‘</w:t>
      </w:r>
      <w:r w:rsidRPr="001D48DE">
        <w:rPr>
          <w:sz w:val="24"/>
          <w:szCs w:val="24"/>
        </w:rPr>
        <w:t xml:space="preserve">Scuttling, fortuity, and marine perils – from the mortgagee’s and the cargo owner’s points of view’. </w:t>
      </w:r>
      <w:r w:rsidRPr="001D48DE">
        <w:rPr>
          <w:i/>
          <w:iCs/>
          <w:sz w:val="24"/>
          <w:szCs w:val="24"/>
        </w:rPr>
        <w:t>Edward Elgar Research Handbook on Marine Insurance Law</w:t>
      </w:r>
      <w:r w:rsidR="00DE2616" w:rsidRPr="001D48DE">
        <w:rPr>
          <w:sz w:val="24"/>
          <w:szCs w:val="24"/>
        </w:rPr>
        <w:t>, ed by Ozlem Gurses,</w:t>
      </w:r>
      <w:r w:rsidRPr="001D48DE">
        <w:rPr>
          <w:sz w:val="24"/>
          <w:szCs w:val="24"/>
        </w:rPr>
        <w:t xml:space="preserve"> 2024</w:t>
      </w:r>
      <w:r w:rsidR="00F0082F" w:rsidRPr="001D48DE">
        <w:rPr>
          <w:sz w:val="24"/>
          <w:szCs w:val="24"/>
        </w:rPr>
        <w:t>, Chapter 5, pp 87-108.</w:t>
      </w:r>
    </w:p>
    <w:p w14:paraId="37370A37" w14:textId="77777777" w:rsidR="004B1CE5" w:rsidRPr="001D48DE" w:rsidRDefault="004B1CE5" w:rsidP="004B1CE5">
      <w:pPr>
        <w:pStyle w:val="ListParagraph"/>
        <w:rPr>
          <w:sz w:val="24"/>
          <w:szCs w:val="24"/>
        </w:rPr>
      </w:pPr>
    </w:p>
    <w:p w14:paraId="3DEE38B0" w14:textId="713A9809" w:rsidR="004B1CE5" w:rsidRPr="001D48DE" w:rsidRDefault="004B1CE5" w:rsidP="000A090A">
      <w:pPr>
        <w:pStyle w:val="ListParagraph"/>
        <w:numPr>
          <w:ilvl w:val="0"/>
          <w:numId w:val="3"/>
        </w:numPr>
        <w:rPr>
          <w:sz w:val="24"/>
          <w:szCs w:val="24"/>
        </w:rPr>
      </w:pPr>
      <w:r w:rsidRPr="001D48DE">
        <w:rPr>
          <w:sz w:val="24"/>
          <w:szCs w:val="24"/>
        </w:rPr>
        <w:t xml:space="preserve">‘Insurance of Commodities Fraud’, </w:t>
      </w:r>
      <w:r w:rsidRPr="001D48DE">
        <w:rPr>
          <w:i/>
          <w:iCs/>
          <w:sz w:val="24"/>
          <w:szCs w:val="24"/>
        </w:rPr>
        <w:t>Fraud and Risk in Commercial Law</w:t>
      </w:r>
      <w:r w:rsidRPr="001D48DE">
        <w:rPr>
          <w:sz w:val="24"/>
          <w:szCs w:val="24"/>
        </w:rPr>
        <w:t>, ed by Davies/Tjio, Bloomsbury, 2024</w:t>
      </w:r>
      <w:r w:rsidR="005B6A92" w:rsidRPr="001D48DE">
        <w:rPr>
          <w:sz w:val="24"/>
          <w:szCs w:val="24"/>
        </w:rPr>
        <w:t>, Chapter 12, 239-258</w:t>
      </w:r>
      <w:r w:rsidR="00F0082F" w:rsidRPr="001D48DE">
        <w:rPr>
          <w:sz w:val="24"/>
          <w:szCs w:val="24"/>
        </w:rPr>
        <w:t>.</w:t>
      </w:r>
    </w:p>
    <w:p w14:paraId="51FBF326" w14:textId="77777777" w:rsidR="000A090A" w:rsidRPr="001D48DE" w:rsidRDefault="000A090A" w:rsidP="000A090A">
      <w:pPr>
        <w:pStyle w:val="ListParagraph"/>
        <w:rPr>
          <w:sz w:val="24"/>
          <w:szCs w:val="24"/>
        </w:rPr>
      </w:pPr>
    </w:p>
    <w:p w14:paraId="4BAA6319" w14:textId="77777777" w:rsidR="000A090A" w:rsidRPr="001D48DE" w:rsidRDefault="000A090A" w:rsidP="000A090A">
      <w:pPr>
        <w:pStyle w:val="CVNormal"/>
        <w:numPr>
          <w:ilvl w:val="0"/>
          <w:numId w:val="3"/>
        </w:numPr>
        <w:rPr>
          <w:rFonts w:ascii="Times New Roman" w:hAnsi="Times New Roman"/>
          <w:sz w:val="24"/>
          <w:szCs w:val="24"/>
        </w:rPr>
      </w:pPr>
      <w:r w:rsidRPr="001D48DE">
        <w:rPr>
          <w:rFonts w:ascii="Times New Roman" w:hAnsi="Times New Roman"/>
          <w:sz w:val="24"/>
          <w:szCs w:val="24"/>
        </w:rPr>
        <w:lastRenderedPageBreak/>
        <w:t xml:space="preserve">‘The Proximate Causes of Loss’ Chapter 7, </w:t>
      </w:r>
      <w:r w:rsidRPr="001D48DE">
        <w:rPr>
          <w:rFonts w:ascii="Times New Roman" w:hAnsi="Times New Roman"/>
          <w:i/>
          <w:iCs/>
          <w:sz w:val="24"/>
          <w:szCs w:val="24"/>
        </w:rPr>
        <w:t>Modern Law of Marine Insurance</w:t>
      </w:r>
      <w:r w:rsidRPr="001D48DE">
        <w:rPr>
          <w:rFonts w:ascii="Times New Roman" w:hAnsi="Times New Roman"/>
          <w:sz w:val="24"/>
          <w:szCs w:val="24"/>
        </w:rPr>
        <w:t>, Vol 5, ed by R Thomas, Informa, 2023, 170-188.</w:t>
      </w:r>
    </w:p>
    <w:p w14:paraId="62A8A08E" w14:textId="77777777" w:rsidR="000A090A" w:rsidRPr="001D48DE" w:rsidRDefault="000A090A" w:rsidP="000A090A">
      <w:pPr>
        <w:pStyle w:val="CVNormal"/>
        <w:ind w:left="720"/>
        <w:rPr>
          <w:rFonts w:ascii="Times New Roman" w:hAnsi="Times New Roman"/>
          <w:sz w:val="24"/>
          <w:szCs w:val="24"/>
        </w:rPr>
      </w:pPr>
    </w:p>
    <w:p w14:paraId="5B43C57B" w14:textId="18E2A2A1" w:rsidR="000A090A" w:rsidRPr="001D48DE" w:rsidRDefault="000A090A" w:rsidP="000A090A">
      <w:pPr>
        <w:pStyle w:val="CVNormal"/>
        <w:numPr>
          <w:ilvl w:val="0"/>
          <w:numId w:val="3"/>
        </w:numPr>
        <w:rPr>
          <w:rFonts w:ascii="Times New Roman" w:hAnsi="Times New Roman" w:cs="Arial"/>
          <w:sz w:val="24"/>
          <w:szCs w:val="24"/>
        </w:rPr>
      </w:pPr>
      <w:r w:rsidRPr="001D48DE">
        <w:rPr>
          <w:rFonts w:ascii="Times New Roman" w:hAnsi="Times New Roman"/>
          <w:sz w:val="24"/>
          <w:szCs w:val="24"/>
        </w:rPr>
        <w:t xml:space="preserve">‘Reinsuring Pandemics: The Role of Government and Public Private Partnerships Between Reinsurers and Governments’, (2023) </w:t>
      </w:r>
      <w:r w:rsidRPr="001D48DE">
        <w:rPr>
          <w:rFonts w:ascii="Times New Roman" w:hAnsi="Times New Roman"/>
          <w:i/>
          <w:iCs/>
          <w:sz w:val="24"/>
          <w:szCs w:val="24"/>
        </w:rPr>
        <w:t>The Geneva Papers on Risk and Insurance- Issues and Practice.</w:t>
      </w:r>
      <w:r w:rsidRPr="001D48DE">
        <w:rPr>
          <w:rFonts w:ascii="Times New Roman" w:hAnsi="Times New Roman"/>
          <w:sz w:val="24"/>
          <w:szCs w:val="24"/>
        </w:rPr>
        <w:t xml:space="preserve"> 41288, 290 (co-authored with S Eggleton)</w:t>
      </w:r>
    </w:p>
    <w:p w14:paraId="10125B9F" w14:textId="77777777" w:rsidR="00480D84" w:rsidRPr="001D48DE" w:rsidRDefault="00480D84" w:rsidP="003857BD">
      <w:pPr>
        <w:pStyle w:val="CVNormal"/>
        <w:ind w:left="0"/>
        <w:rPr>
          <w:rFonts w:ascii="Arial" w:hAnsi="Arial" w:cs="Arial"/>
          <w:sz w:val="24"/>
          <w:szCs w:val="24"/>
        </w:rPr>
      </w:pPr>
    </w:p>
    <w:p w14:paraId="2AE25236" w14:textId="77777777" w:rsidR="000A090A" w:rsidRPr="001D48DE" w:rsidRDefault="000A090A" w:rsidP="000A090A">
      <w:pPr>
        <w:pStyle w:val="CVNormal"/>
        <w:numPr>
          <w:ilvl w:val="0"/>
          <w:numId w:val="3"/>
        </w:numPr>
        <w:rPr>
          <w:rFonts w:ascii="Times New Roman" w:hAnsi="Times New Roman"/>
          <w:sz w:val="24"/>
          <w:szCs w:val="24"/>
        </w:rPr>
      </w:pPr>
      <w:r w:rsidRPr="001D48DE">
        <w:rPr>
          <w:rFonts w:ascii="Times New Roman" w:hAnsi="Times New Roman"/>
          <w:sz w:val="24"/>
          <w:szCs w:val="24"/>
          <w:shd w:val="clear" w:color="auto" w:fill="FFFFFF"/>
        </w:rPr>
        <w:t>‘</w:t>
      </w:r>
      <w:r w:rsidRPr="001D48DE">
        <w:rPr>
          <w:rFonts w:ascii="Times New Roman" w:hAnsi="Times New Roman"/>
          <w:sz w:val="24"/>
          <w:szCs w:val="24"/>
          <w:bdr w:val="none" w:sz="0" w:space="0" w:color="auto" w:frame="1"/>
        </w:rPr>
        <w:t>Section</w:t>
      </w:r>
      <w:r w:rsidRPr="001D48DE">
        <w:rPr>
          <w:rFonts w:ascii="Times New Roman" w:hAnsi="Times New Roman"/>
          <w:sz w:val="24"/>
          <w:szCs w:val="24"/>
          <w:shd w:val="clear" w:color="auto" w:fill="FFFFFF"/>
        </w:rPr>
        <w:t> </w:t>
      </w:r>
      <w:r w:rsidRPr="001D48DE">
        <w:rPr>
          <w:rFonts w:ascii="Times New Roman" w:hAnsi="Times New Roman"/>
          <w:sz w:val="24"/>
          <w:szCs w:val="24"/>
          <w:bdr w:val="none" w:sz="0" w:space="0" w:color="auto" w:frame="1"/>
        </w:rPr>
        <w:t>11</w:t>
      </w:r>
      <w:r w:rsidRPr="001D48DE">
        <w:rPr>
          <w:rFonts w:ascii="Times New Roman" w:hAnsi="Times New Roman"/>
          <w:sz w:val="24"/>
          <w:szCs w:val="24"/>
          <w:shd w:val="clear" w:color="auto" w:fill="FFFFFF"/>
        </w:rPr>
        <w:t> of the Insurance Act 2015: When does a term define the risk as a whole in an insurance contract?’ </w:t>
      </w:r>
      <w:r w:rsidRPr="001D48DE">
        <w:rPr>
          <w:rFonts w:ascii="Times New Roman" w:eastAsia="Calibri" w:hAnsi="Times New Roman"/>
          <w:sz w:val="24"/>
          <w:szCs w:val="24"/>
          <w:lang w:val="en-US" w:eastAsia="en-US"/>
        </w:rPr>
        <w:t xml:space="preserve">[2020] </w:t>
      </w:r>
      <w:r w:rsidRPr="001D48DE">
        <w:rPr>
          <w:rFonts w:ascii="Times New Roman" w:eastAsia="Calibri" w:hAnsi="Times New Roman"/>
          <w:i/>
          <w:iCs/>
          <w:sz w:val="24"/>
          <w:szCs w:val="24"/>
          <w:lang w:val="en-US" w:eastAsia="en-US"/>
        </w:rPr>
        <w:t>Journal of Business Law</w:t>
      </w:r>
      <w:r w:rsidRPr="001D48DE">
        <w:rPr>
          <w:rFonts w:ascii="Times New Roman" w:eastAsia="Calibri" w:hAnsi="Times New Roman"/>
          <w:sz w:val="24"/>
          <w:szCs w:val="24"/>
          <w:lang w:val="en-US" w:eastAsia="en-US"/>
        </w:rPr>
        <w:t xml:space="preserve">, </w:t>
      </w:r>
      <w:r w:rsidRPr="001D48DE">
        <w:rPr>
          <w:rFonts w:ascii="Times New Roman" w:hAnsi="Times New Roman"/>
          <w:sz w:val="24"/>
          <w:szCs w:val="24"/>
          <w:shd w:val="clear" w:color="auto" w:fill="FFFFFF"/>
        </w:rPr>
        <w:t>184-201</w:t>
      </w:r>
    </w:p>
    <w:p w14:paraId="4D970C7F" w14:textId="77777777" w:rsidR="000A090A" w:rsidRPr="001D48DE" w:rsidRDefault="000A090A" w:rsidP="000A090A">
      <w:pPr>
        <w:pStyle w:val="ListParagraph"/>
        <w:rPr>
          <w:sz w:val="24"/>
          <w:szCs w:val="24"/>
        </w:rPr>
      </w:pPr>
    </w:p>
    <w:p w14:paraId="68BD9F59" w14:textId="77777777" w:rsidR="000A090A" w:rsidRPr="001D48DE" w:rsidRDefault="000A090A" w:rsidP="00F25457">
      <w:pPr>
        <w:pStyle w:val="CVNormal"/>
        <w:ind w:left="644"/>
        <w:rPr>
          <w:rFonts w:ascii="Times New Roman" w:hAnsi="Times New Roman"/>
          <w:sz w:val="24"/>
          <w:szCs w:val="24"/>
        </w:rPr>
      </w:pPr>
    </w:p>
    <w:p w14:paraId="605AA33C" w14:textId="5430CFB4" w:rsidR="0034236C" w:rsidRPr="001D48DE" w:rsidRDefault="00F25457" w:rsidP="000A090A">
      <w:pPr>
        <w:pStyle w:val="CVNormal"/>
        <w:numPr>
          <w:ilvl w:val="0"/>
          <w:numId w:val="3"/>
        </w:numPr>
        <w:rPr>
          <w:rFonts w:ascii="Times New Roman" w:hAnsi="Times New Roman"/>
          <w:sz w:val="24"/>
          <w:szCs w:val="24"/>
        </w:rPr>
      </w:pPr>
      <w:r w:rsidRPr="001D48DE">
        <w:rPr>
          <w:rFonts w:ascii="Times New Roman" w:hAnsi="Times New Roman"/>
          <w:sz w:val="24"/>
          <w:szCs w:val="24"/>
          <w:lang w:eastAsia="en-GB"/>
        </w:rPr>
        <w:t>‘</w:t>
      </w:r>
      <w:r w:rsidR="00726E42" w:rsidRPr="001D48DE">
        <w:rPr>
          <w:rFonts w:ascii="Times New Roman" w:hAnsi="Times New Roman"/>
          <w:sz w:val="24"/>
          <w:szCs w:val="24"/>
          <w:lang w:eastAsia="en-GB"/>
        </w:rPr>
        <w:t>Marine Insurance</w:t>
      </w:r>
      <w:r w:rsidRPr="001D48DE">
        <w:rPr>
          <w:rFonts w:ascii="Times New Roman" w:hAnsi="Times New Roman"/>
          <w:sz w:val="24"/>
          <w:szCs w:val="24"/>
          <w:lang w:eastAsia="en-GB"/>
        </w:rPr>
        <w:t>’</w:t>
      </w:r>
      <w:r w:rsidR="00726E42" w:rsidRPr="001D48DE">
        <w:rPr>
          <w:rFonts w:ascii="Times New Roman" w:hAnsi="Times New Roman"/>
          <w:sz w:val="24"/>
          <w:szCs w:val="24"/>
          <w:lang w:eastAsia="en-GB"/>
        </w:rPr>
        <w:t xml:space="preserve"> Chapter of </w:t>
      </w:r>
      <w:r w:rsidR="00726E42" w:rsidRPr="001D48DE">
        <w:rPr>
          <w:rFonts w:ascii="Times New Roman" w:hAnsi="Times New Roman"/>
          <w:i/>
          <w:iCs/>
          <w:sz w:val="24"/>
          <w:szCs w:val="24"/>
          <w:lang w:eastAsia="en-GB"/>
        </w:rPr>
        <w:t>Maritime Law</w:t>
      </w:r>
      <w:r w:rsidR="00726E42" w:rsidRPr="001D48DE">
        <w:rPr>
          <w:rFonts w:ascii="Times New Roman" w:hAnsi="Times New Roman"/>
          <w:sz w:val="24"/>
          <w:szCs w:val="24"/>
          <w:lang w:eastAsia="en-GB"/>
        </w:rPr>
        <w:t xml:space="preserve"> by the Institute of Maritime Law, University of Southampton, 20</w:t>
      </w:r>
      <w:r w:rsidR="00925072" w:rsidRPr="001D48DE">
        <w:rPr>
          <w:rFonts w:ascii="Times New Roman" w:hAnsi="Times New Roman"/>
          <w:sz w:val="24"/>
          <w:szCs w:val="24"/>
          <w:lang w:eastAsia="en-GB"/>
        </w:rPr>
        <w:t>20</w:t>
      </w:r>
      <w:r w:rsidR="00726E42" w:rsidRPr="001D48DE">
        <w:rPr>
          <w:rFonts w:ascii="Times New Roman" w:hAnsi="Times New Roman"/>
          <w:sz w:val="24"/>
          <w:szCs w:val="24"/>
          <w:lang w:eastAsia="en-GB"/>
        </w:rPr>
        <w:t>, Routledge.</w:t>
      </w:r>
    </w:p>
    <w:p w14:paraId="1ED84851" w14:textId="77777777" w:rsidR="003857BD" w:rsidRPr="001D48DE" w:rsidRDefault="003857BD" w:rsidP="003857BD">
      <w:pPr>
        <w:pStyle w:val="ListParagraph"/>
        <w:rPr>
          <w:sz w:val="24"/>
          <w:szCs w:val="24"/>
        </w:rPr>
      </w:pPr>
    </w:p>
    <w:p w14:paraId="520B6E9D" w14:textId="090F0407" w:rsidR="00AA7073" w:rsidRPr="001D48DE" w:rsidRDefault="003857BD" w:rsidP="000A090A">
      <w:pPr>
        <w:pStyle w:val="CVNormal"/>
        <w:numPr>
          <w:ilvl w:val="0"/>
          <w:numId w:val="3"/>
        </w:numPr>
        <w:rPr>
          <w:rFonts w:ascii="Times New Roman" w:hAnsi="Times New Roman"/>
          <w:sz w:val="24"/>
          <w:szCs w:val="24"/>
        </w:rPr>
      </w:pPr>
      <w:r w:rsidRPr="001D48DE">
        <w:rPr>
          <w:rFonts w:ascii="Times New Roman" w:eastAsia="Calibri" w:hAnsi="Times New Roman"/>
          <w:sz w:val="24"/>
          <w:szCs w:val="24"/>
          <w:lang w:val="en-US" w:eastAsia="en-US"/>
        </w:rPr>
        <w:t xml:space="preserve">‘The role of insurance in the offshore oil and gas operations’, in </w:t>
      </w:r>
      <w:r w:rsidRPr="001D48DE">
        <w:rPr>
          <w:rFonts w:ascii="Times New Roman" w:eastAsia="Calibri" w:hAnsi="Times New Roman"/>
          <w:i/>
          <w:iCs/>
          <w:sz w:val="24"/>
          <w:szCs w:val="24"/>
          <w:lang w:val="en-US" w:eastAsia="en-US"/>
        </w:rPr>
        <w:t>Managing the Risk of Offshore Oil and Gas Accidents</w:t>
      </w:r>
      <w:r w:rsidRPr="001D48DE">
        <w:rPr>
          <w:rFonts w:ascii="Times New Roman" w:eastAsia="Calibri" w:hAnsi="Times New Roman"/>
          <w:sz w:val="24"/>
          <w:szCs w:val="24"/>
          <w:lang w:val="en-US" w:eastAsia="en-US"/>
        </w:rPr>
        <w:t>, ed by Handl/Svendsen, Edward Elgar Publishing, 2019, 354-382</w:t>
      </w:r>
    </w:p>
    <w:p w14:paraId="608ABAA2" w14:textId="77777777" w:rsidR="000A090A" w:rsidRPr="001D48DE" w:rsidRDefault="000A090A" w:rsidP="000A090A">
      <w:pPr>
        <w:pStyle w:val="ListParagraph"/>
        <w:rPr>
          <w:sz w:val="24"/>
          <w:szCs w:val="24"/>
        </w:rPr>
      </w:pPr>
    </w:p>
    <w:p w14:paraId="02EF6CDA" w14:textId="77777777" w:rsidR="000A090A" w:rsidRPr="001D48DE" w:rsidRDefault="00E06A40" w:rsidP="000A090A">
      <w:pPr>
        <w:pStyle w:val="CVNormal"/>
        <w:numPr>
          <w:ilvl w:val="0"/>
          <w:numId w:val="3"/>
        </w:numPr>
        <w:rPr>
          <w:rFonts w:ascii="Times New Roman" w:hAnsi="Times New Roman"/>
          <w:sz w:val="24"/>
          <w:szCs w:val="24"/>
        </w:rPr>
      </w:pPr>
      <w:r w:rsidRPr="001D48DE">
        <w:rPr>
          <w:rFonts w:ascii="Times New Roman" w:eastAsia="Calibri" w:hAnsi="Times New Roman"/>
          <w:sz w:val="24"/>
          <w:szCs w:val="24"/>
          <w:lang w:val="en-US" w:eastAsia="en-US"/>
        </w:rPr>
        <w:t>‘</w:t>
      </w:r>
      <w:r w:rsidR="00726E42" w:rsidRPr="001D48DE">
        <w:rPr>
          <w:rFonts w:ascii="Times New Roman" w:eastAsia="Calibri" w:hAnsi="Times New Roman"/>
          <w:sz w:val="24"/>
          <w:szCs w:val="24"/>
          <w:lang w:val="en-US" w:eastAsia="en-US"/>
        </w:rPr>
        <w:t>Insurers’ subrogation rights against a contractual beneficiary</w:t>
      </w:r>
      <w:r w:rsidRPr="001D48DE">
        <w:rPr>
          <w:rFonts w:ascii="Times New Roman" w:eastAsia="Calibri" w:hAnsi="Times New Roman"/>
          <w:sz w:val="24"/>
          <w:szCs w:val="24"/>
          <w:lang w:val="en-US" w:eastAsia="en-US"/>
        </w:rPr>
        <w:t>’</w:t>
      </w:r>
      <w:r w:rsidR="00726E42" w:rsidRPr="001D48DE">
        <w:rPr>
          <w:rFonts w:ascii="Times New Roman" w:eastAsia="Calibri" w:hAnsi="Times New Roman"/>
          <w:sz w:val="24"/>
          <w:szCs w:val="24"/>
          <w:lang w:val="en-US" w:eastAsia="en-US"/>
        </w:rPr>
        <w:t xml:space="preserve"> [2017] </w:t>
      </w:r>
      <w:r w:rsidR="00726E42" w:rsidRPr="001D48DE">
        <w:rPr>
          <w:rFonts w:ascii="Times New Roman" w:eastAsia="Calibri" w:hAnsi="Times New Roman"/>
          <w:i/>
          <w:iCs/>
          <w:sz w:val="24"/>
          <w:szCs w:val="24"/>
          <w:lang w:val="en-US" w:eastAsia="en-US"/>
        </w:rPr>
        <w:t>Journal of Business Law</w:t>
      </w:r>
      <w:r w:rsidR="00726E42" w:rsidRPr="001D48DE">
        <w:rPr>
          <w:rFonts w:ascii="Times New Roman" w:eastAsia="Calibri" w:hAnsi="Times New Roman"/>
          <w:sz w:val="24"/>
          <w:szCs w:val="24"/>
          <w:lang w:val="en-US" w:eastAsia="en-US"/>
        </w:rPr>
        <w:t>, Issue 7, 556-574</w:t>
      </w:r>
    </w:p>
    <w:p w14:paraId="362FA1CA" w14:textId="77777777" w:rsidR="000A090A" w:rsidRPr="001D48DE" w:rsidRDefault="000A090A" w:rsidP="000A090A">
      <w:pPr>
        <w:pStyle w:val="ListParagraph"/>
        <w:rPr>
          <w:rFonts w:eastAsia="Calibri"/>
          <w:sz w:val="24"/>
          <w:szCs w:val="24"/>
          <w:lang w:val="en-US" w:eastAsia="en-US"/>
        </w:rPr>
      </w:pPr>
    </w:p>
    <w:p w14:paraId="2BF43B38" w14:textId="77777777" w:rsidR="000A090A" w:rsidRPr="001D48DE" w:rsidRDefault="00E06A40" w:rsidP="000A090A">
      <w:pPr>
        <w:pStyle w:val="CVNormal"/>
        <w:numPr>
          <w:ilvl w:val="0"/>
          <w:numId w:val="3"/>
        </w:numPr>
        <w:rPr>
          <w:rFonts w:ascii="Times New Roman" w:hAnsi="Times New Roman"/>
          <w:sz w:val="24"/>
          <w:szCs w:val="24"/>
        </w:rPr>
      </w:pPr>
      <w:r w:rsidRPr="001D48DE">
        <w:rPr>
          <w:rFonts w:ascii="Times New Roman" w:eastAsia="Calibri" w:hAnsi="Times New Roman"/>
          <w:sz w:val="24"/>
          <w:szCs w:val="24"/>
          <w:lang w:val="en-US" w:eastAsia="en-US"/>
        </w:rPr>
        <w:t>‘</w:t>
      </w:r>
      <w:r w:rsidR="00726E42" w:rsidRPr="001D48DE">
        <w:rPr>
          <w:rFonts w:ascii="Times New Roman" w:eastAsia="Calibri" w:hAnsi="Times New Roman"/>
          <w:sz w:val="24"/>
          <w:szCs w:val="24"/>
          <w:lang w:val="en-US" w:eastAsia="en-US"/>
        </w:rPr>
        <w:t>Insurance Contracts after the Insurance Act 2015</w:t>
      </w:r>
      <w:r w:rsidRPr="001D48DE">
        <w:rPr>
          <w:rFonts w:ascii="Times New Roman" w:eastAsia="Calibri" w:hAnsi="Times New Roman"/>
          <w:sz w:val="24"/>
          <w:szCs w:val="24"/>
          <w:lang w:val="en-US" w:eastAsia="en-US"/>
        </w:rPr>
        <w:t>’</w:t>
      </w:r>
      <w:r w:rsidR="00726E42" w:rsidRPr="001D48DE">
        <w:rPr>
          <w:rFonts w:ascii="Times New Roman" w:eastAsia="Calibri" w:hAnsi="Times New Roman"/>
          <w:sz w:val="24"/>
          <w:szCs w:val="24"/>
          <w:lang w:val="en-US" w:eastAsia="en-US"/>
        </w:rPr>
        <w:t xml:space="preserve">, </w:t>
      </w:r>
      <w:r w:rsidR="00726E42" w:rsidRPr="001D48DE">
        <w:rPr>
          <w:rFonts w:ascii="Times New Roman" w:eastAsia="Calibri" w:hAnsi="Times New Roman"/>
          <w:i/>
          <w:iCs/>
          <w:sz w:val="24"/>
          <w:szCs w:val="24"/>
          <w:lang w:val="en-US" w:eastAsia="en-US"/>
        </w:rPr>
        <w:t>Law Quarterly Review</w:t>
      </w:r>
      <w:r w:rsidR="00726E42" w:rsidRPr="001D48DE">
        <w:rPr>
          <w:rFonts w:ascii="Times New Roman" w:eastAsia="Calibri" w:hAnsi="Times New Roman"/>
          <w:sz w:val="24"/>
          <w:szCs w:val="24"/>
          <w:lang w:val="en-US" w:eastAsia="en-US"/>
        </w:rPr>
        <w:t>, 2016, 132(Jul), 445-469 (co-authored with Rob Merkin).</w:t>
      </w:r>
    </w:p>
    <w:p w14:paraId="53909AE6" w14:textId="77777777" w:rsidR="000A090A" w:rsidRPr="001D48DE" w:rsidRDefault="000A090A" w:rsidP="000A090A">
      <w:pPr>
        <w:pStyle w:val="ListParagraph"/>
        <w:rPr>
          <w:rStyle w:val="Title1"/>
          <w:sz w:val="24"/>
          <w:szCs w:val="24"/>
        </w:rPr>
      </w:pPr>
    </w:p>
    <w:p w14:paraId="7B71BFDB" w14:textId="77777777" w:rsidR="000A090A" w:rsidRPr="001D48DE" w:rsidRDefault="00E06A40" w:rsidP="000A090A">
      <w:pPr>
        <w:pStyle w:val="CVNormal"/>
        <w:numPr>
          <w:ilvl w:val="0"/>
          <w:numId w:val="3"/>
        </w:numPr>
        <w:rPr>
          <w:rStyle w:val="Title1"/>
          <w:rFonts w:ascii="Times New Roman" w:hAnsi="Times New Roman"/>
          <w:sz w:val="24"/>
          <w:szCs w:val="24"/>
        </w:rPr>
      </w:pPr>
      <w:r w:rsidRPr="001D48DE">
        <w:rPr>
          <w:rStyle w:val="Title1"/>
          <w:rFonts w:ascii="Times New Roman" w:hAnsi="Times New Roman"/>
          <w:sz w:val="24"/>
          <w:szCs w:val="24"/>
        </w:rPr>
        <w:t>‘</w:t>
      </w:r>
      <w:r w:rsidR="00726E42" w:rsidRPr="001D48DE">
        <w:rPr>
          <w:rStyle w:val="Title1"/>
          <w:rFonts w:ascii="Times New Roman" w:hAnsi="Times New Roman"/>
          <w:sz w:val="24"/>
          <w:szCs w:val="24"/>
        </w:rPr>
        <w:t>What does ‘utmost good faith’ mean</w:t>
      </w:r>
      <w:r w:rsidRPr="001D48DE">
        <w:rPr>
          <w:rStyle w:val="Title1"/>
          <w:rFonts w:ascii="Times New Roman" w:hAnsi="Times New Roman"/>
          <w:sz w:val="24"/>
          <w:szCs w:val="24"/>
        </w:rPr>
        <w:t>’</w:t>
      </w:r>
      <w:r w:rsidR="00726E42" w:rsidRPr="001D48DE">
        <w:rPr>
          <w:rStyle w:val="Title1"/>
          <w:rFonts w:ascii="Times New Roman" w:hAnsi="Times New Roman"/>
          <w:sz w:val="24"/>
          <w:szCs w:val="24"/>
        </w:rPr>
        <w:t xml:space="preserve">? </w:t>
      </w:r>
      <w:r w:rsidR="00726E42" w:rsidRPr="001D48DE">
        <w:rPr>
          <w:rStyle w:val="Title1"/>
          <w:rFonts w:ascii="Times New Roman" w:hAnsi="Times New Roman"/>
          <w:i/>
          <w:sz w:val="24"/>
          <w:szCs w:val="24"/>
        </w:rPr>
        <w:t>Insurance Law Journal</w:t>
      </w:r>
      <w:r w:rsidR="00726E42" w:rsidRPr="001D48DE">
        <w:rPr>
          <w:rStyle w:val="Title1"/>
          <w:rFonts w:ascii="Times New Roman" w:hAnsi="Times New Roman"/>
          <w:sz w:val="24"/>
          <w:szCs w:val="24"/>
        </w:rPr>
        <w:t xml:space="preserve"> (Australia), </w:t>
      </w:r>
      <w:r w:rsidR="00726E42" w:rsidRPr="001D48DE">
        <w:rPr>
          <w:rFonts w:ascii="Times New Roman" w:eastAsia="Calibri" w:hAnsi="Times New Roman"/>
          <w:sz w:val="24"/>
          <w:szCs w:val="24"/>
          <w:lang w:val="en-US" w:eastAsia="en-US"/>
        </w:rPr>
        <w:t xml:space="preserve">2016 (27), </w:t>
      </w:r>
      <w:r w:rsidR="0034236C" w:rsidRPr="001D48DE">
        <w:rPr>
          <w:rFonts w:ascii="Times New Roman" w:eastAsia="Calibri" w:hAnsi="Times New Roman"/>
          <w:sz w:val="24"/>
          <w:szCs w:val="24"/>
          <w:lang w:val="en-US" w:eastAsia="en-US"/>
        </w:rPr>
        <w:t>124</w:t>
      </w:r>
    </w:p>
    <w:p w14:paraId="55DA1FB4" w14:textId="77777777" w:rsidR="000A090A" w:rsidRPr="001D48DE" w:rsidRDefault="000A090A" w:rsidP="000A090A">
      <w:pPr>
        <w:pStyle w:val="ListParagraph"/>
        <w:rPr>
          <w:rStyle w:val="Title1"/>
          <w:sz w:val="24"/>
          <w:szCs w:val="24"/>
        </w:rPr>
      </w:pPr>
    </w:p>
    <w:p w14:paraId="57A3C3AA" w14:textId="0459933A" w:rsidR="00726E42" w:rsidRPr="001D48DE" w:rsidRDefault="00E06A40" w:rsidP="000A090A">
      <w:pPr>
        <w:pStyle w:val="CVNormal"/>
        <w:numPr>
          <w:ilvl w:val="0"/>
          <w:numId w:val="3"/>
        </w:numPr>
        <w:rPr>
          <w:rStyle w:val="Title1"/>
          <w:rFonts w:ascii="Times New Roman" w:hAnsi="Times New Roman"/>
          <w:sz w:val="24"/>
          <w:szCs w:val="24"/>
        </w:rPr>
      </w:pPr>
      <w:r w:rsidRPr="001D48DE">
        <w:rPr>
          <w:rStyle w:val="Title1"/>
          <w:rFonts w:ascii="Times New Roman" w:hAnsi="Times New Roman"/>
          <w:sz w:val="24"/>
          <w:szCs w:val="24"/>
        </w:rPr>
        <w:t>‘</w:t>
      </w:r>
      <w:r w:rsidR="00726E42" w:rsidRPr="001D48DE">
        <w:rPr>
          <w:rStyle w:val="Title1"/>
          <w:rFonts w:ascii="Times New Roman" w:hAnsi="Times New Roman"/>
          <w:sz w:val="24"/>
          <w:szCs w:val="24"/>
        </w:rPr>
        <w:t>The Insurance Act 2015:  Rebalancing The Interests of Insurer and Assured</w:t>
      </w:r>
      <w:r w:rsidRPr="001D48DE">
        <w:rPr>
          <w:rStyle w:val="Title1"/>
          <w:rFonts w:ascii="Times New Roman" w:hAnsi="Times New Roman"/>
          <w:sz w:val="24"/>
          <w:szCs w:val="24"/>
        </w:rPr>
        <w:t>’</w:t>
      </w:r>
      <w:r w:rsidR="00726E42" w:rsidRPr="001D48DE">
        <w:rPr>
          <w:rStyle w:val="Title1"/>
          <w:rFonts w:ascii="Times New Roman" w:hAnsi="Times New Roman"/>
          <w:sz w:val="24"/>
          <w:szCs w:val="24"/>
        </w:rPr>
        <w:t xml:space="preserve">, </w:t>
      </w:r>
      <w:r w:rsidR="00726E42" w:rsidRPr="001D48DE">
        <w:rPr>
          <w:rStyle w:val="Title1"/>
          <w:rFonts w:ascii="Times New Roman" w:hAnsi="Times New Roman"/>
          <w:i/>
          <w:sz w:val="24"/>
          <w:szCs w:val="24"/>
        </w:rPr>
        <w:t>Modern Law Review</w:t>
      </w:r>
      <w:r w:rsidR="00726E42" w:rsidRPr="001D48DE">
        <w:rPr>
          <w:rStyle w:val="Title1"/>
          <w:rFonts w:ascii="Times New Roman" w:hAnsi="Times New Roman"/>
          <w:sz w:val="24"/>
          <w:szCs w:val="24"/>
        </w:rPr>
        <w:t>, 2015, Vol.78, 1004-1028 (co-authored with Rob Merkin).</w:t>
      </w:r>
    </w:p>
    <w:p w14:paraId="4096262D" w14:textId="77777777" w:rsidR="00726E42" w:rsidRPr="001D48DE" w:rsidRDefault="00726E42" w:rsidP="009D27BC">
      <w:pPr>
        <w:pStyle w:val="CVNormal"/>
        <w:ind w:left="180"/>
        <w:rPr>
          <w:rStyle w:val="Title1"/>
          <w:rFonts w:ascii="Times New Roman" w:hAnsi="Times New Roman"/>
          <w:sz w:val="24"/>
          <w:szCs w:val="24"/>
        </w:rPr>
      </w:pPr>
    </w:p>
    <w:p w14:paraId="3058D0DB" w14:textId="71318B35" w:rsidR="00EC0580" w:rsidRPr="001D48DE" w:rsidRDefault="00EC0580" w:rsidP="009D27BC"/>
    <w:p w14:paraId="14B6746E" w14:textId="478E89CD" w:rsidR="009D27BC" w:rsidRPr="001D48DE" w:rsidRDefault="009D27BC" w:rsidP="009D27BC">
      <w:pPr>
        <w:rPr>
          <w:b/>
          <w:bCs/>
          <w:sz w:val="24"/>
          <w:szCs w:val="24"/>
        </w:rPr>
      </w:pPr>
      <w:r w:rsidRPr="001D48DE">
        <w:rPr>
          <w:b/>
          <w:bCs/>
          <w:sz w:val="24"/>
          <w:szCs w:val="24"/>
        </w:rPr>
        <w:t xml:space="preserve">CASE NOTES </w:t>
      </w:r>
    </w:p>
    <w:p w14:paraId="42494687" w14:textId="102386B5" w:rsidR="009D27BC" w:rsidRPr="001D48DE" w:rsidRDefault="009D27BC" w:rsidP="009D27BC">
      <w:pPr>
        <w:rPr>
          <w:sz w:val="24"/>
          <w:szCs w:val="24"/>
        </w:rPr>
      </w:pPr>
    </w:p>
    <w:p w14:paraId="680F73B0" w14:textId="77777777" w:rsidR="00AC083C" w:rsidRDefault="00D15BC2" w:rsidP="00AC083C">
      <w:pPr>
        <w:pStyle w:val="ListParagraph"/>
        <w:numPr>
          <w:ilvl w:val="0"/>
          <w:numId w:val="5"/>
        </w:numPr>
        <w:rPr>
          <w:sz w:val="24"/>
          <w:szCs w:val="24"/>
          <w:lang w:eastAsia="en-US"/>
        </w:rPr>
      </w:pPr>
      <w:r w:rsidRPr="00D15BC2">
        <w:rPr>
          <w:sz w:val="24"/>
          <w:szCs w:val="24"/>
          <w:lang w:eastAsia="en-US"/>
        </w:rPr>
        <w:t>Marine war risks insurance</w:t>
      </w:r>
      <w:r>
        <w:rPr>
          <w:sz w:val="24"/>
          <w:szCs w:val="24"/>
          <w:lang w:eastAsia="en-US"/>
        </w:rPr>
        <w:t xml:space="preserve"> - </w:t>
      </w:r>
      <w:r w:rsidRPr="00D15BC2">
        <w:rPr>
          <w:i/>
          <w:iCs/>
          <w:sz w:val="24"/>
          <w:szCs w:val="24"/>
          <w:lang w:eastAsia="en-US"/>
        </w:rPr>
        <w:t xml:space="preserve">Al Buhaira National Insurance Co v Arab War Risks Insurance Syndicate </w:t>
      </w:r>
      <w:r w:rsidRPr="00D15BC2">
        <w:rPr>
          <w:sz w:val="24"/>
          <w:szCs w:val="24"/>
          <w:lang w:eastAsia="en-US"/>
        </w:rPr>
        <w:t>[2025] DIFC CFI 013</w:t>
      </w:r>
      <w:r>
        <w:rPr>
          <w:sz w:val="24"/>
          <w:szCs w:val="24"/>
          <w:lang w:eastAsia="en-US"/>
        </w:rPr>
        <w:t xml:space="preserve">, </w:t>
      </w:r>
      <w:r w:rsidRPr="001D48DE">
        <w:rPr>
          <w:sz w:val="24"/>
          <w:szCs w:val="24"/>
          <w:lang w:eastAsia="en-US"/>
        </w:rPr>
        <w:t>Lloyd’s Shipping and Trade Law, 202</w:t>
      </w:r>
      <w:r>
        <w:rPr>
          <w:sz w:val="24"/>
          <w:szCs w:val="24"/>
          <w:lang w:eastAsia="en-US"/>
        </w:rPr>
        <w:t>5</w:t>
      </w:r>
      <w:r w:rsidRPr="001D48DE">
        <w:rPr>
          <w:sz w:val="24"/>
          <w:szCs w:val="24"/>
          <w:lang w:eastAsia="en-US"/>
        </w:rPr>
        <w:t>, Vol.2</w:t>
      </w:r>
      <w:r>
        <w:rPr>
          <w:sz w:val="24"/>
          <w:szCs w:val="24"/>
          <w:lang w:eastAsia="en-US"/>
        </w:rPr>
        <w:t>5</w:t>
      </w:r>
      <w:r w:rsidRPr="001D48DE">
        <w:rPr>
          <w:sz w:val="24"/>
          <w:szCs w:val="24"/>
          <w:lang w:eastAsia="en-US"/>
        </w:rPr>
        <w:t xml:space="preserve">, Issue </w:t>
      </w:r>
      <w:r>
        <w:rPr>
          <w:sz w:val="24"/>
          <w:szCs w:val="24"/>
          <w:lang w:eastAsia="en-US"/>
        </w:rPr>
        <w:t>8</w:t>
      </w:r>
      <w:r w:rsidRPr="001D48DE">
        <w:rPr>
          <w:sz w:val="24"/>
          <w:szCs w:val="24"/>
          <w:lang w:eastAsia="en-US"/>
        </w:rPr>
        <w:t xml:space="preserve">, pp </w:t>
      </w:r>
      <w:r>
        <w:rPr>
          <w:sz w:val="24"/>
          <w:szCs w:val="24"/>
          <w:lang w:eastAsia="en-US"/>
        </w:rPr>
        <w:t>6-8</w:t>
      </w:r>
    </w:p>
    <w:p w14:paraId="38C32891" w14:textId="03053636" w:rsidR="00AC083C" w:rsidRPr="00AC083C" w:rsidRDefault="00AC083C" w:rsidP="00AC083C">
      <w:pPr>
        <w:pStyle w:val="ListParagraph"/>
        <w:numPr>
          <w:ilvl w:val="0"/>
          <w:numId w:val="5"/>
        </w:numPr>
        <w:rPr>
          <w:color w:val="000000" w:themeColor="text1"/>
          <w:sz w:val="24"/>
          <w:szCs w:val="24"/>
          <w:lang w:eastAsia="en-US"/>
        </w:rPr>
      </w:pPr>
      <w:r w:rsidRPr="00AC083C">
        <w:rPr>
          <w:sz w:val="24"/>
          <w:szCs w:val="24"/>
          <w:lang w:eastAsia="en-US"/>
        </w:rPr>
        <w:t xml:space="preserve">Measure of Indemnity in Insurance - </w:t>
      </w:r>
      <w:r w:rsidRPr="00AC083C">
        <w:rPr>
          <w:color w:val="162E4C"/>
          <w:spacing w:val="-5"/>
          <w:sz w:val="24"/>
          <w:szCs w:val="24"/>
        </w:rPr>
        <w:t xml:space="preserve">Sky UK Ltd v </w:t>
      </w:r>
      <w:r w:rsidRPr="00AC083C">
        <w:rPr>
          <w:color w:val="000000" w:themeColor="text1"/>
          <w:spacing w:val="-5"/>
          <w:sz w:val="24"/>
          <w:szCs w:val="24"/>
        </w:rPr>
        <w:t xml:space="preserve">Riverstone Managing Agency Ltd [2024] EWCA Civ 1567, </w:t>
      </w:r>
      <w:r w:rsidRPr="00AC083C">
        <w:rPr>
          <w:color w:val="000000" w:themeColor="text1"/>
          <w:sz w:val="24"/>
          <w:szCs w:val="24"/>
          <w:lang w:eastAsia="en-US"/>
        </w:rPr>
        <w:t>Shipping and Trade Law</w:t>
      </w:r>
      <w:r w:rsidRPr="00AC083C">
        <w:rPr>
          <w:color w:val="000000" w:themeColor="text1"/>
          <w:spacing w:val="-5"/>
          <w:sz w:val="24"/>
          <w:szCs w:val="24"/>
        </w:rPr>
        <w:t xml:space="preserve"> </w:t>
      </w:r>
      <w:hyperlink r:id="rId5" w:history="1">
        <w:r w:rsidRPr="00AC083C">
          <w:rPr>
            <w:rStyle w:val="Hyperlink"/>
            <w:color w:val="000000" w:themeColor="text1"/>
            <w:sz w:val="24"/>
            <w:szCs w:val="24"/>
          </w:rPr>
          <w:t>Vol 25 No 1</w:t>
        </w:r>
        <w:r>
          <w:rPr>
            <w:rStyle w:val="Hyperlink"/>
            <w:color w:val="000000" w:themeColor="text1"/>
            <w:sz w:val="24"/>
            <w:szCs w:val="24"/>
          </w:rPr>
          <w:t>,</w:t>
        </w:r>
        <w:r w:rsidRPr="00AC083C">
          <w:rPr>
            <w:rStyle w:val="Hyperlink"/>
            <w:color w:val="000000" w:themeColor="text1"/>
            <w:sz w:val="24"/>
            <w:szCs w:val="24"/>
          </w:rPr>
          <w:t xml:space="preserve"> 2025</w:t>
        </w:r>
      </w:hyperlink>
      <w:r>
        <w:rPr>
          <w:color w:val="000000" w:themeColor="text1"/>
          <w:sz w:val="24"/>
          <w:szCs w:val="24"/>
        </w:rPr>
        <w:t>.</w:t>
      </w:r>
    </w:p>
    <w:p w14:paraId="538DB58B" w14:textId="02BDC2D0" w:rsidR="000A090A" w:rsidRPr="001D48DE" w:rsidRDefault="000A090A" w:rsidP="000A090A">
      <w:pPr>
        <w:pStyle w:val="ListParagraph"/>
        <w:numPr>
          <w:ilvl w:val="0"/>
          <w:numId w:val="5"/>
        </w:numPr>
        <w:rPr>
          <w:sz w:val="24"/>
          <w:szCs w:val="24"/>
          <w:lang w:eastAsia="en-US"/>
        </w:rPr>
      </w:pPr>
      <w:r w:rsidRPr="001D48DE">
        <w:rPr>
          <w:i/>
          <w:iCs/>
          <w:sz w:val="24"/>
          <w:szCs w:val="24"/>
          <w:lang w:eastAsia="en-US"/>
        </w:rPr>
        <w:t>The Win Win</w:t>
      </w:r>
      <w:r w:rsidRPr="001D48DE">
        <w:rPr>
          <w:sz w:val="24"/>
          <w:szCs w:val="24"/>
          <w:lang w:eastAsia="en-US"/>
        </w:rPr>
        <w:t xml:space="preserve"> : Marine Insurance Claim under the Insurance Act 2015, Lloyd’s Shipping and Trade Law, 2024, Vol.24, Issue 5, pp 4-7</w:t>
      </w:r>
    </w:p>
    <w:p w14:paraId="6E65C5C4" w14:textId="6F9D197C" w:rsidR="000A090A" w:rsidRPr="001D48DE" w:rsidRDefault="00D00DB2" w:rsidP="000A090A">
      <w:pPr>
        <w:pStyle w:val="ListParagraph"/>
        <w:numPr>
          <w:ilvl w:val="0"/>
          <w:numId w:val="5"/>
        </w:numPr>
        <w:rPr>
          <w:sz w:val="24"/>
          <w:szCs w:val="24"/>
          <w:lang w:eastAsia="en-US"/>
        </w:rPr>
      </w:pPr>
      <w:r w:rsidRPr="001D48DE">
        <w:rPr>
          <w:sz w:val="24"/>
          <w:szCs w:val="24"/>
          <w:lang w:eastAsia="en-US"/>
        </w:rPr>
        <w:t>The Supreme Court on Business Interruption Insurance and COVID-19: </w:t>
      </w:r>
      <w:r w:rsidRPr="001D48DE">
        <w:rPr>
          <w:i/>
          <w:iCs/>
          <w:sz w:val="24"/>
          <w:szCs w:val="24"/>
          <w:lang w:eastAsia="en-US"/>
        </w:rPr>
        <w:t>Financial Conduct Authority v Arch Insurance (UK) Ltd</w:t>
      </w:r>
      <w:r w:rsidRPr="001D48DE">
        <w:rPr>
          <w:sz w:val="24"/>
          <w:szCs w:val="24"/>
          <w:lang w:eastAsia="en-US"/>
        </w:rPr>
        <w:t> [2021] UKSC 1</w:t>
      </w:r>
      <w:r w:rsidR="00F25457" w:rsidRPr="001D48DE">
        <w:rPr>
          <w:sz w:val="24"/>
          <w:szCs w:val="24"/>
          <w:lang w:eastAsia="en-US"/>
        </w:rPr>
        <w:t xml:space="preserve"> </w:t>
      </w:r>
      <w:r w:rsidRPr="001D48DE">
        <w:rPr>
          <w:sz w:val="24"/>
          <w:szCs w:val="24"/>
          <w:lang w:eastAsia="en-US"/>
        </w:rPr>
        <w:t>King’s Law Journal, Vol 32, 2021, 71-83</w:t>
      </w:r>
    </w:p>
    <w:p w14:paraId="1AC05D19" w14:textId="2BFF3301" w:rsidR="009D27BC" w:rsidRPr="001D48DE" w:rsidRDefault="009D27BC" w:rsidP="000A090A">
      <w:pPr>
        <w:pStyle w:val="NormalWeb"/>
        <w:numPr>
          <w:ilvl w:val="0"/>
          <w:numId w:val="5"/>
        </w:numPr>
        <w:rPr>
          <w:lang w:val="en-GB"/>
        </w:rPr>
      </w:pPr>
      <w:r w:rsidRPr="001D48DE">
        <w:rPr>
          <w:i/>
          <w:iCs/>
          <w:lang w:val="en-GB"/>
        </w:rPr>
        <w:t>Equitas Insurance Ltd v Municipal Mutual Insurance Ltd</w:t>
      </w:r>
      <w:r w:rsidRPr="001D48DE">
        <w:rPr>
          <w:lang w:val="en-GB"/>
        </w:rPr>
        <w:t xml:space="preserve">: The Fairchild Enclave and allocation of losses in reinsurance, Insurance Law Journal, 2019 (32), 1-7 </w:t>
      </w:r>
    </w:p>
    <w:p w14:paraId="7F6A22C0" w14:textId="2BF93B05" w:rsidR="00925072" w:rsidRPr="001D48DE" w:rsidRDefault="00925072" w:rsidP="009D27BC">
      <w:pPr>
        <w:pStyle w:val="NormalWeb"/>
        <w:numPr>
          <w:ilvl w:val="0"/>
          <w:numId w:val="5"/>
        </w:numPr>
        <w:rPr>
          <w:lang w:val="en-GB"/>
        </w:rPr>
      </w:pPr>
      <w:r w:rsidRPr="001D48DE">
        <w:rPr>
          <w:i/>
          <w:iCs/>
          <w:lang w:val="en-GB"/>
        </w:rPr>
        <w:t xml:space="preserve">Concurrent Causes Explained, Lloyd’s </w:t>
      </w:r>
      <w:r w:rsidR="000A090A" w:rsidRPr="001D48DE">
        <w:rPr>
          <w:lang w:val="en-GB"/>
        </w:rPr>
        <w:t xml:space="preserve">Lloyd’s </w:t>
      </w:r>
      <w:r w:rsidRPr="001D48DE">
        <w:rPr>
          <w:lang w:val="en-GB"/>
        </w:rPr>
        <w:t>Shipping and Trade Law</w:t>
      </w:r>
      <w:r w:rsidRPr="001D48DE">
        <w:rPr>
          <w:i/>
          <w:iCs/>
          <w:lang w:val="en-GB"/>
        </w:rPr>
        <w:t xml:space="preserve">, </w:t>
      </w:r>
      <w:r w:rsidR="00D41803" w:rsidRPr="001D48DE">
        <w:rPr>
          <w:lang w:val="en-GB"/>
        </w:rPr>
        <w:t>July/</w:t>
      </w:r>
      <w:r w:rsidRPr="001D48DE">
        <w:rPr>
          <w:lang w:val="en-GB"/>
        </w:rPr>
        <w:t>August 2020</w:t>
      </w:r>
      <w:r w:rsidR="00D41803" w:rsidRPr="001D48DE">
        <w:rPr>
          <w:lang w:val="en-GB"/>
        </w:rPr>
        <w:t>, 1-4</w:t>
      </w:r>
    </w:p>
    <w:p w14:paraId="516BE602" w14:textId="77777777" w:rsidR="00120EFD" w:rsidRPr="001D48DE" w:rsidRDefault="00925072" w:rsidP="00120EFD">
      <w:pPr>
        <w:pStyle w:val="NormalWeb"/>
        <w:numPr>
          <w:ilvl w:val="0"/>
          <w:numId w:val="5"/>
        </w:numPr>
        <w:rPr>
          <w:lang w:val="en-GB"/>
        </w:rPr>
      </w:pPr>
      <w:r w:rsidRPr="001D48DE">
        <w:rPr>
          <w:i/>
          <w:iCs/>
        </w:rPr>
        <w:t>Covid-19-related business interruption claims – FCA test case</w:t>
      </w:r>
      <w:r w:rsidRPr="001D48DE">
        <w:t xml:space="preserve"> </w:t>
      </w:r>
      <w:r w:rsidRPr="001D48DE">
        <w:rPr>
          <w:i/>
          <w:iCs/>
          <w:lang w:val="en-GB"/>
        </w:rPr>
        <w:t xml:space="preserve">Lloyd’s </w:t>
      </w:r>
      <w:r w:rsidRPr="001D48DE">
        <w:rPr>
          <w:lang w:val="en-GB"/>
        </w:rPr>
        <w:t>Shipping and Trade Law,</w:t>
      </w:r>
      <w:r w:rsidRPr="001D48DE">
        <w:rPr>
          <w:i/>
          <w:iCs/>
          <w:lang w:val="en-GB"/>
        </w:rPr>
        <w:t xml:space="preserve"> </w:t>
      </w:r>
      <w:r w:rsidRPr="001D48DE">
        <w:rPr>
          <w:lang w:val="en-GB"/>
        </w:rPr>
        <w:t>September 2020</w:t>
      </w:r>
      <w:r w:rsidR="00D41803" w:rsidRPr="001D48DE">
        <w:rPr>
          <w:lang w:val="en-GB"/>
        </w:rPr>
        <w:t>, 1-4.</w:t>
      </w:r>
      <w:r w:rsidRPr="001D48DE">
        <w:rPr>
          <w:i/>
          <w:iCs/>
          <w:lang w:val="en-GB"/>
        </w:rPr>
        <w:t xml:space="preserve"> </w:t>
      </w:r>
    </w:p>
    <w:p w14:paraId="33134DF9" w14:textId="1B6D769B" w:rsidR="00D41803" w:rsidRPr="001D48DE" w:rsidRDefault="00D41803" w:rsidP="00120EFD">
      <w:pPr>
        <w:pStyle w:val="NormalWeb"/>
        <w:numPr>
          <w:ilvl w:val="0"/>
          <w:numId w:val="5"/>
        </w:numPr>
        <w:rPr>
          <w:lang w:val="en-GB"/>
        </w:rPr>
      </w:pPr>
      <w:r w:rsidRPr="001D48DE">
        <w:rPr>
          <w:i/>
          <w:iCs/>
          <w:shd w:val="clear" w:color="auto" w:fill="FFFFFF"/>
        </w:rPr>
        <w:t>Did the coronavirus or the fear of its spread cause millions of assureds’ losses?</w:t>
      </w:r>
      <w:r w:rsidR="00120EFD" w:rsidRPr="001D48DE">
        <w:rPr>
          <w:shd w:val="clear" w:color="auto" w:fill="FFFFFF"/>
        </w:rPr>
        <w:t xml:space="preserve"> </w:t>
      </w:r>
      <w:r w:rsidRPr="001D48DE">
        <w:rPr>
          <w:shd w:val="clear" w:color="auto" w:fill="FFFFFF"/>
        </w:rPr>
        <w:t>Insurance Day, July 2020</w:t>
      </w:r>
    </w:p>
    <w:p w14:paraId="5F998A26" w14:textId="2A94AA55" w:rsidR="00D41803" w:rsidRPr="001D48DE" w:rsidRDefault="00D41803" w:rsidP="00D41803">
      <w:pPr>
        <w:pStyle w:val="HTMLPreformatted"/>
        <w:numPr>
          <w:ilvl w:val="0"/>
          <w:numId w:val="5"/>
        </w:numPr>
        <w:shd w:val="clear" w:color="auto" w:fill="FFFFFF"/>
        <w:rPr>
          <w:rFonts w:ascii="Times New Roman" w:hAnsi="Times New Roman" w:cs="Times New Roman"/>
          <w:sz w:val="24"/>
          <w:szCs w:val="24"/>
        </w:rPr>
      </w:pPr>
      <w:r w:rsidRPr="001D48DE">
        <w:rPr>
          <w:rFonts w:ascii="Times New Roman" w:hAnsi="Times New Roman" w:cs="Times New Roman"/>
          <w:i/>
          <w:iCs/>
          <w:sz w:val="24"/>
          <w:szCs w:val="24"/>
        </w:rPr>
        <w:t>‘Loss of’, ‘loss to’ or, ‘physical loss or damage to property’?</w:t>
      </w:r>
      <w:r w:rsidRPr="001D48DE">
        <w:rPr>
          <w:rFonts w:ascii="Times New Roman" w:hAnsi="Times New Roman" w:cs="Times New Roman"/>
          <w:sz w:val="24"/>
          <w:szCs w:val="24"/>
        </w:rPr>
        <w:t xml:space="preserve"> Insurance Day, July 2020</w:t>
      </w:r>
    </w:p>
    <w:p w14:paraId="511F2E73" w14:textId="77777777" w:rsidR="00D41803" w:rsidRPr="001D48DE" w:rsidRDefault="00D41803" w:rsidP="00D41803">
      <w:pPr>
        <w:pStyle w:val="ListParagraph"/>
        <w:numPr>
          <w:ilvl w:val="0"/>
          <w:numId w:val="5"/>
        </w:numPr>
        <w:rPr>
          <w:sz w:val="24"/>
          <w:szCs w:val="24"/>
        </w:rPr>
      </w:pPr>
      <w:r w:rsidRPr="001D48DE">
        <w:rPr>
          <w:sz w:val="24"/>
          <w:szCs w:val="24"/>
          <w:shd w:val="clear" w:color="auto" w:fill="FFFFFF"/>
        </w:rPr>
        <w:t>The FCA test case</w:t>
      </w:r>
      <w:r w:rsidRPr="001D48DE">
        <w:rPr>
          <w:i/>
          <w:iCs/>
          <w:sz w:val="24"/>
          <w:szCs w:val="24"/>
          <w:shd w:val="clear" w:color="auto" w:fill="FFFFFF"/>
        </w:rPr>
        <w:t xml:space="preserve"> (Financial Conduct Authority v Arch Insurance (UK) Ltd</w:t>
      </w:r>
      <w:r w:rsidRPr="001D48DE">
        <w:rPr>
          <w:sz w:val="24"/>
          <w:szCs w:val="24"/>
          <w:shd w:val="clear" w:color="auto" w:fill="FFFFFF"/>
        </w:rPr>
        <w:t xml:space="preserve"> [2020] EWHC 2448 (Comm)) explained. Insurance Day, September 2020 </w:t>
      </w:r>
    </w:p>
    <w:p w14:paraId="0AFE1159" w14:textId="24573774" w:rsidR="00925072" w:rsidRPr="001D48DE" w:rsidRDefault="00925072" w:rsidP="00D41803">
      <w:pPr>
        <w:pStyle w:val="ListParagraph"/>
        <w:rPr>
          <w:sz w:val="24"/>
          <w:szCs w:val="24"/>
        </w:rPr>
      </w:pPr>
    </w:p>
    <w:p w14:paraId="52C9157D" w14:textId="77777777" w:rsidR="00491ED1" w:rsidRPr="001D48DE" w:rsidRDefault="00491ED1" w:rsidP="009D27BC">
      <w:pPr>
        <w:rPr>
          <w:b/>
          <w:bCs/>
          <w:sz w:val="24"/>
          <w:szCs w:val="24"/>
        </w:rPr>
      </w:pPr>
      <w:r w:rsidRPr="001D48DE">
        <w:rPr>
          <w:b/>
          <w:bCs/>
          <w:sz w:val="24"/>
          <w:szCs w:val="24"/>
        </w:rPr>
        <w:t>BOOK REVIEWS</w:t>
      </w:r>
    </w:p>
    <w:p w14:paraId="4768CBE5" w14:textId="0B744037" w:rsidR="00491ED1" w:rsidRPr="001D48DE" w:rsidRDefault="00491ED1" w:rsidP="009D27BC">
      <w:pPr>
        <w:rPr>
          <w:b/>
          <w:bCs/>
          <w:sz w:val="24"/>
          <w:szCs w:val="24"/>
        </w:rPr>
      </w:pPr>
    </w:p>
    <w:p w14:paraId="5432D0AD" w14:textId="5DC48761" w:rsidR="00D377E3" w:rsidRDefault="00D377E3" w:rsidP="00D82194">
      <w:pPr>
        <w:pStyle w:val="ListParagraph"/>
        <w:numPr>
          <w:ilvl w:val="0"/>
          <w:numId w:val="8"/>
        </w:numPr>
        <w:rPr>
          <w:sz w:val="24"/>
          <w:szCs w:val="24"/>
        </w:rPr>
      </w:pPr>
      <w:r w:rsidRPr="00D377E3">
        <w:rPr>
          <w:sz w:val="24"/>
          <w:szCs w:val="24"/>
        </w:rPr>
        <w:t>Causation in Insurance Contract Law, 2nd ed.</w:t>
      </w:r>
      <w:r>
        <w:rPr>
          <w:sz w:val="24"/>
          <w:szCs w:val="24"/>
        </w:rPr>
        <w:t xml:space="preserve">, Meixian Song, </w:t>
      </w:r>
      <w:r w:rsidRPr="00D377E3">
        <w:rPr>
          <w:sz w:val="24"/>
          <w:szCs w:val="24"/>
        </w:rPr>
        <w:t>Informa law from Routledge, 2024</w:t>
      </w:r>
      <w:r>
        <w:rPr>
          <w:sz w:val="24"/>
          <w:szCs w:val="24"/>
        </w:rPr>
        <w:t xml:space="preserve">, JIML, forthcoming. </w:t>
      </w:r>
    </w:p>
    <w:p w14:paraId="781D5F5C" w14:textId="77777777" w:rsidR="00D377E3" w:rsidRDefault="00D377E3" w:rsidP="00D377E3">
      <w:pPr>
        <w:pStyle w:val="ListParagraph"/>
        <w:rPr>
          <w:sz w:val="24"/>
          <w:szCs w:val="24"/>
        </w:rPr>
      </w:pPr>
    </w:p>
    <w:p w14:paraId="3CBE9F5F" w14:textId="19F7D854" w:rsidR="003857BD" w:rsidRPr="001D48DE" w:rsidRDefault="00C33E73" w:rsidP="00D82194">
      <w:pPr>
        <w:pStyle w:val="ListParagraph"/>
        <w:numPr>
          <w:ilvl w:val="0"/>
          <w:numId w:val="8"/>
        </w:numPr>
        <w:rPr>
          <w:sz w:val="24"/>
          <w:szCs w:val="24"/>
        </w:rPr>
      </w:pPr>
      <w:r w:rsidRPr="001D48DE">
        <w:rPr>
          <w:sz w:val="24"/>
          <w:szCs w:val="24"/>
        </w:rPr>
        <w:t>Riley on Business Interruption Insurance, 12</w:t>
      </w:r>
      <w:r w:rsidRPr="001D48DE">
        <w:rPr>
          <w:sz w:val="24"/>
          <w:szCs w:val="24"/>
          <w:vertAlign w:val="superscript"/>
        </w:rPr>
        <w:t>th</w:t>
      </w:r>
      <w:r w:rsidRPr="001D48DE">
        <w:rPr>
          <w:sz w:val="24"/>
          <w:szCs w:val="24"/>
        </w:rPr>
        <w:t xml:space="preserve"> ed, </w:t>
      </w:r>
      <w:r w:rsidR="003857BD" w:rsidRPr="001D48DE">
        <w:rPr>
          <w:sz w:val="24"/>
          <w:szCs w:val="24"/>
          <w:shd w:val="clear" w:color="auto" w:fill="FFFFFF"/>
        </w:rPr>
        <w:t>J.B.L. 2022, 7, 624-628</w:t>
      </w:r>
    </w:p>
    <w:p w14:paraId="07939FC0" w14:textId="77777777" w:rsidR="003857BD" w:rsidRPr="001D48DE" w:rsidRDefault="003857BD" w:rsidP="003857BD">
      <w:pPr>
        <w:pStyle w:val="ListParagraph"/>
        <w:rPr>
          <w:sz w:val="24"/>
          <w:szCs w:val="24"/>
        </w:rPr>
      </w:pPr>
    </w:p>
    <w:p w14:paraId="3CF2E8DC" w14:textId="764E812D" w:rsidR="00C33E73" w:rsidRPr="001D48DE" w:rsidRDefault="00C33E73" w:rsidP="00D82194">
      <w:pPr>
        <w:pStyle w:val="ListParagraph"/>
        <w:numPr>
          <w:ilvl w:val="0"/>
          <w:numId w:val="8"/>
        </w:numPr>
        <w:rPr>
          <w:sz w:val="24"/>
          <w:szCs w:val="24"/>
        </w:rPr>
      </w:pPr>
      <w:r w:rsidRPr="001D48DE">
        <w:rPr>
          <w:sz w:val="24"/>
          <w:szCs w:val="24"/>
        </w:rPr>
        <w:t>Insurance Claims, A. Padfield QC, 5</w:t>
      </w:r>
      <w:r w:rsidRPr="001D48DE">
        <w:rPr>
          <w:sz w:val="24"/>
          <w:szCs w:val="24"/>
          <w:vertAlign w:val="superscript"/>
        </w:rPr>
        <w:t>th</w:t>
      </w:r>
      <w:r w:rsidRPr="001D48DE">
        <w:rPr>
          <w:sz w:val="24"/>
          <w:szCs w:val="24"/>
        </w:rPr>
        <w:t xml:space="preserve"> ed, Bloomsbury, BILA Journal, 2021 </w:t>
      </w:r>
    </w:p>
    <w:p w14:paraId="65668707" w14:textId="2CFF12A7" w:rsidR="00C33E73" w:rsidRPr="001D48DE" w:rsidRDefault="00C33E73" w:rsidP="00C33E73">
      <w:pPr>
        <w:rPr>
          <w:sz w:val="24"/>
          <w:szCs w:val="24"/>
        </w:rPr>
      </w:pPr>
    </w:p>
    <w:p w14:paraId="507B5F44" w14:textId="2802A24D" w:rsidR="00C33E73" w:rsidRPr="001D48DE" w:rsidRDefault="00C33E73" w:rsidP="00C33E73">
      <w:pPr>
        <w:rPr>
          <w:sz w:val="24"/>
          <w:szCs w:val="24"/>
        </w:rPr>
      </w:pPr>
    </w:p>
    <w:p w14:paraId="3427B86A" w14:textId="77777777" w:rsidR="00491ED1" w:rsidRDefault="00491ED1" w:rsidP="009D27BC">
      <w:pPr>
        <w:rPr>
          <w:sz w:val="24"/>
          <w:szCs w:val="24"/>
        </w:rPr>
      </w:pPr>
    </w:p>
    <w:p w14:paraId="5EDE12DB" w14:textId="77777777" w:rsidR="00124C24" w:rsidRPr="00D377E3" w:rsidRDefault="00124C24" w:rsidP="009D27BC">
      <w:pPr>
        <w:rPr>
          <w:sz w:val="24"/>
          <w:szCs w:val="24"/>
        </w:rPr>
      </w:pPr>
    </w:p>
    <w:sectPr w:rsidR="00124C24" w:rsidRPr="00D377E3" w:rsidSect="00204D63">
      <w:pgSz w:w="11906" w:h="16838"/>
      <w:pgMar w:top="1440" w:right="1800" w:bottom="144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UOS Blake">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551E"/>
    <w:multiLevelType w:val="hybridMultilevel"/>
    <w:tmpl w:val="F2B6E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44D81"/>
    <w:multiLevelType w:val="multilevel"/>
    <w:tmpl w:val="141A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D2B04"/>
    <w:multiLevelType w:val="hybridMultilevel"/>
    <w:tmpl w:val="DD186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0535C"/>
    <w:multiLevelType w:val="hybridMultilevel"/>
    <w:tmpl w:val="4FA857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B16874"/>
    <w:multiLevelType w:val="multilevel"/>
    <w:tmpl w:val="12A6E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F24539"/>
    <w:multiLevelType w:val="hybridMultilevel"/>
    <w:tmpl w:val="21E0ED62"/>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FC07AE"/>
    <w:multiLevelType w:val="hybridMultilevel"/>
    <w:tmpl w:val="F3FC96E8"/>
    <w:lvl w:ilvl="0" w:tplc="13447C88">
      <w:start w:val="1"/>
      <w:numFmt w:val="decimal"/>
      <w:lvlText w:val="%1."/>
      <w:lvlJc w:val="left"/>
      <w:pPr>
        <w:ind w:left="180" w:hanging="360"/>
      </w:pPr>
      <w:rPr>
        <w:rFonts w:hint="default"/>
      </w:rPr>
    </w:lvl>
    <w:lvl w:ilvl="1" w:tplc="08090019">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70CB74B4"/>
    <w:multiLevelType w:val="hybridMultilevel"/>
    <w:tmpl w:val="A8A665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77642B"/>
    <w:multiLevelType w:val="hybridMultilevel"/>
    <w:tmpl w:val="20B62B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2061FC"/>
    <w:multiLevelType w:val="hybridMultilevel"/>
    <w:tmpl w:val="3F54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71138"/>
    <w:multiLevelType w:val="hybridMultilevel"/>
    <w:tmpl w:val="A8A665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1801874">
    <w:abstractNumId w:val="6"/>
  </w:num>
  <w:num w:numId="2" w16cid:durableId="1493373739">
    <w:abstractNumId w:val="7"/>
  </w:num>
  <w:num w:numId="3" w16cid:durableId="528228059">
    <w:abstractNumId w:val="5"/>
  </w:num>
  <w:num w:numId="4" w16cid:durableId="1983926735">
    <w:abstractNumId w:val="3"/>
  </w:num>
  <w:num w:numId="5" w16cid:durableId="1665234583">
    <w:abstractNumId w:val="8"/>
  </w:num>
  <w:num w:numId="6" w16cid:durableId="1628856252">
    <w:abstractNumId w:val="4"/>
  </w:num>
  <w:num w:numId="7" w16cid:durableId="1066881564">
    <w:abstractNumId w:val="9"/>
  </w:num>
  <w:num w:numId="8" w16cid:durableId="67773351">
    <w:abstractNumId w:val="0"/>
  </w:num>
  <w:num w:numId="9" w16cid:durableId="923150965">
    <w:abstractNumId w:val="2"/>
  </w:num>
  <w:num w:numId="10" w16cid:durableId="1213807114">
    <w:abstractNumId w:val="1"/>
  </w:num>
  <w:num w:numId="11" w16cid:durableId="1036927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42"/>
    <w:rsid w:val="00043EAA"/>
    <w:rsid w:val="00052E8D"/>
    <w:rsid w:val="000A090A"/>
    <w:rsid w:val="001076E6"/>
    <w:rsid w:val="00120EFD"/>
    <w:rsid w:val="00124C24"/>
    <w:rsid w:val="0013700A"/>
    <w:rsid w:val="00197EE1"/>
    <w:rsid w:val="001D48DE"/>
    <w:rsid w:val="00204D63"/>
    <w:rsid w:val="00211C90"/>
    <w:rsid w:val="00285EAC"/>
    <w:rsid w:val="002973A3"/>
    <w:rsid w:val="002A10CA"/>
    <w:rsid w:val="002C04F9"/>
    <w:rsid w:val="0034236C"/>
    <w:rsid w:val="003857BD"/>
    <w:rsid w:val="003B06B8"/>
    <w:rsid w:val="00480388"/>
    <w:rsid w:val="00480D84"/>
    <w:rsid w:val="004819F2"/>
    <w:rsid w:val="00491ED1"/>
    <w:rsid w:val="004B1CE5"/>
    <w:rsid w:val="005951B8"/>
    <w:rsid w:val="005A301A"/>
    <w:rsid w:val="005A3193"/>
    <w:rsid w:val="005B614A"/>
    <w:rsid w:val="005B6A92"/>
    <w:rsid w:val="005E6AC8"/>
    <w:rsid w:val="006502E1"/>
    <w:rsid w:val="00675BFD"/>
    <w:rsid w:val="006918D9"/>
    <w:rsid w:val="00695856"/>
    <w:rsid w:val="006B310A"/>
    <w:rsid w:val="00726E42"/>
    <w:rsid w:val="007342B2"/>
    <w:rsid w:val="007D2C31"/>
    <w:rsid w:val="00820C8D"/>
    <w:rsid w:val="008860CE"/>
    <w:rsid w:val="008A68E2"/>
    <w:rsid w:val="00925072"/>
    <w:rsid w:val="00964F90"/>
    <w:rsid w:val="009A1753"/>
    <w:rsid w:val="009C0B2D"/>
    <w:rsid w:val="009D00D3"/>
    <w:rsid w:val="009D27BC"/>
    <w:rsid w:val="00A26C7E"/>
    <w:rsid w:val="00AA7073"/>
    <w:rsid w:val="00AC083C"/>
    <w:rsid w:val="00AC31A8"/>
    <w:rsid w:val="00BB412E"/>
    <w:rsid w:val="00BC6003"/>
    <w:rsid w:val="00C01E24"/>
    <w:rsid w:val="00C33E73"/>
    <w:rsid w:val="00CE6E8E"/>
    <w:rsid w:val="00D00DB2"/>
    <w:rsid w:val="00D15BC2"/>
    <w:rsid w:val="00D377E3"/>
    <w:rsid w:val="00D41803"/>
    <w:rsid w:val="00DE2616"/>
    <w:rsid w:val="00E06A40"/>
    <w:rsid w:val="00E35AF7"/>
    <w:rsid w:val="00EA0669"/>
    <w:rsid w:val="00EA1AAD"/>
    <w:rsid w:val="00EC0580"/>
    <w:rsid w:val="00EE2707"/>
    <w:rsid w:val="00F0082F"/>
    <w:rsid w:val="00F038FB"/>
    <w:rsid w:val="00F25457"/>
    <w:rsid w:val="00F646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836BB"/>
  <w14:defaultImageDpi w14:val="300"/>
  <w15:docId w15:val="{5FDE87F1-955D-194A-9239-C777EE9D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E42"/>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726E42"/>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qFormat/>
    <w:rsid w:val="00726E42"/>
    <w:pPr>
      <w:keepNext/>
      <w:outlineLvl w:val="1"/>
    </w:pPr>
    <w:rPr>
      <w:i/>
      <w:sz w:val="16"/>
    </w:rPr>
  </w:style>
  <w:style w:type="paragraph" w:styleId="Heading3">
    <w:name w:val="heading 3"/>
    <w:basedOn w:val="Normal"/>
    <w:next w:val="Normal"/>
    <w:link w:val="Heading3Char"/>
    <w:qFormat/>
    <w:rsid w:val="00726E42"/>
    <w:pPr>
      <w:keepNext/>
      <w:widowControl w:val="0"/>
      <w:jc w:val="both"/>
      <w:outlineLvl w:val="2"/>
    </w:pPr>
    <w:rPr>
      <w:b/>
      <w:sz w:val="28"/>
      <w:shd w:val="pct30" w:color="auto" w:fill="FFFFFF"/>
    </w:rPr>
  </w:style>
  <w:style w:type="paragraph" w:styleId="Heading4">
    <w:name w:val="heading 4"/>
    <w:basedOn w:val="Normal"/>
    <w:next w:val="Normal"/>
    <w:link w:val="Heading4Char"/>
    <w:uiPriority w:val="9"/>
    <w:semiHidden/>
    <w:unhideWhenUsed/>
    <w:qFormat/>
    <w:rsid w:val="00EE270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726E42"/>
    <w:pPr>
      <w:keepNext/>
      <w:widowControl w:val="0"/>
      <w:outlineLvl w:val="4"/>
    </w:pPr>
    <w:rPr>
      <w:b/>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E42"/>
    <w:rPr>
      <w:rFonts w:ascii="Cambria" w:eastAsia="SimSun" w:hAnsi="Cambria" w:cs="Times New Roman"/>
      <w:b/>
      <w:bCs/>
      <w:kern w:val="32"/>
      <w:sz w:val="32"/>
      <w:szCs w:val="32"/>
      <w:lang w:eastAsia="en-GB"/>
    </w:rPr>
  </w:style>
  <w:style w:type="character" w:customStyle="1" w:styleId="Heading2Char">
    <w:name w:val="Heading 2 Char"/>
    <w:basedOn w:val="DefaultParagraphFont"/>
    <w:link w:val="Heading2"/>
    <w:rsid w:val="00726E42"/>
    <w:rPr>
      <w:rFonts w:ascii="Times New Roman" w:eastAsia="Times New Roman" w:hAnsi="Times New Roman" w:cs="Times New Roman"/>
      <w:i/>
      <w:sz w:val="16"/>
      <w:szCs w:val="20"/>
      <w:lang w:eastAsia="en-GB"/>
    </w:rPr>
  </w:style>
  <w:style w:type="character" w:customStyle="1" w:styleId="Heading3Char">
    <w:name w:val="Heading 3 Char"/>
    <w:basedOn w:val="DefaultParagraphFont"/>
    <w:link w:val="Heading3"/>
    <w:rsid w:val="00726E42"/>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726E42"/>
    <w:rPr>
      <w:rFonts w:ascii="Times New Roman" w:eastAsia="Times New Roman" w:hAnsi="Times New Roman" w:cs="Times New Roman"/>
      <w:b/>
      <w:snapToGrid w:val="0"/>
      <w:szCs w:val="20"/>
    </w:rPr>
  </w:style>
  <w:style w:type="paragraph" w:customStyle="1" w:styleId="MediumGrid1-Accent21">
    <w:name w:val="Medium Grid 1 - Accent 21"/>
    <w:basedOn w:val="Normal"/>
    <w:uiPriority w:val="34"/>
    <w:qFormat/>
    <w:rsid w:val="00726E42"/>
    <w:pPr>
      <w:ind w:left="720"/>
      <w:contextualSpacing/>
    </w:pPr>
  </w:style>
  <w:style w:type="paragraph" w:customStyle="1" w:styleId="CVNormal">
    <w:name w:val="CV Normal"/>
    <w:basedOn w:val="Normal"/>
    <w:qFormat/>
    <w:rsid w:val="00726E42"/>
    <w:pPr>
      <w:suppressAutoHyphens/>
      <w:ind w:left="113" w:right="113"/>
    </w:pPr>
    <w:rPr>
      <w:rFonts w:ascii="Arial Narrow" w:hAnsi="Arial Narrow"/>
      <w:lang w:eastAsia="ar-SA"/>
    </w:rPr>
  </w:style>
  <w:style w:type="paragraph" w:customStyle="1" w:styleId="CVNormal-FirstLine">
    <w:name w:val="CV Normal - First Line"/>
    <w:basedOn w:val="CVNormal"/>
    <w:next w:val="CVNormal"/>
    <w:rsid w:val="00726E42"/>
    <w:pPr>
      <w:spacing w:before="74"/>
    </w:pPr>
  </w:style>
  <w:style w:type="paragraph" w:customStyle="1" w:styleId="Default">
    <w:name w:val="Default"/>
    <w:rsid w:val="00726E42"/>
    <w:pPr>
      <w:autoSpaceDE w:val="0"/>
      <w:autoSpaceDN w:val="0"/>
      <w:adjustRightInd w:val="0"/>
    </w:pPr>
    <w:rPr>
      <w:rFonts w:ascii="TUOS Blake" w:eastAsia="SimSun" w:hAnsi="TUOS Blake" w:cs="TUOS Blake"/>
      <w:color w:val="000000"/>
      <w:lang w:eastAsia="zh-CN"/>
    </w:rPr>
  </w:style>
  <w:style w:type="character" w:styleId="Hyperlink">
    <w:name w:val="Hyperlink"/>
    <w:uiPriority w:val="99"/>
    <w:unhideWhenUsed/>
    <w:rsid w:val="00726E42"/>
    <w:rPr>
      <w:strike w:val="0"/>
      <w:dstrike w:val="0"/>
      <w:color w:val="095394"/>
      <w:u w:val="none"/>
      <w:effect w:val="none"/>
    </w:rPr>
  </w:style>
  <w:style w:type="character" w:customStyle="1" w:styleId="citation">
    <w:name w:val="citation"/>
    <w:rsid w:val="00726E42"/>
  </w:style>
  <w:style w:type="character" w:customStyle="1" w:styleId="Title1">
    <w:name w:val="Title1"/>
    <w:rsid w:val="00726E42"/>
  </w:style>
  <w:style w:type="character" w:customStyle="1" w:styleId="specialissue">
    <w:name w:val="special_issue"/>
    <w:rsid w:val="00726E42"/>
  </w:style>
  <w:style w:type="character" w:styleId="Emphasis">
    <w:name w:val="Emphasis"/>
    <w:uiPriority w:val="20"/>
    <w:qFormat/>
    <w:rsid w:val="00726E42"/>
    <w:rPr>
      <w:i/>
      <w:iCs/>
    </w:rPr>
  </w:style>
  <w:style w:type="character" w:customStyle="1" w:styleId="volume">
    <w:name w:val="volume"/>
    <w:rsid w:val="00726E42"/>
  </w:style>
  <w:style w:type="character" w:customStyle="1" w:styleId="number">
    <w:name w:val="number"/>
    <w:rsid w:val="00726E42"/>
  </w:style>
  <w:style w:type="character" w:customStyle="1" w:styleId="pagerange">
    <w:name w:val="pagerange"/>
    <w:rsid w:val="00726E42"/>
  </w:style>
  <w:style w:type="paragraph" w:styleId="ListParagraph">
    <w:name w:val="List Paragraph"/>
    <w:basedOn w:val="Normal"/>
    <w:uiPriority w:val="72"/>
    <w:rsid w:val="00726E42"/>
    <w:pPr>
      <w:ind w:left="720"/>
      <w:contextualSpacing/>
    </w:pPr>
  </w:style>
  <w:style w:type="paragraph" w:styleId="NormalWeb">
    <w:name w:val="Normal (Web)"/>
    <w:basedOn w:val="Normal"/>
    <w:uiPriority w:val="99"/>
    <w:unhideWhenUsed/>
    <w:rsid w:val="009D27BC"/>
    <w:pPr>
      <w:spacing w:before="100" w:beforeAutospacing="1" w:after="100" w:afterAutospacing="1"/>
    </w:pPr>
    <w:rPr>
      <w:sz w:val="24"/>
      <w:szCs w:val="24"/>
      <w:lang w:val="tr-TR"/>
    </w:rPr>
  </w:style>
  <w:style w:type="character" w:customStyle="1" w:styleId="markv0mac4dj8">
    <w:name w:val="markv0mac4dj8"/>
    <w:basedOn w:val="DefaultParagraphFont"/>
    <w:rsid w:val="00480D84"/>
  </w:style>
  <w:style w:type="character" w:customStyle="1" w:styleId="markpljbe92oq">
    <w:name w:val="markpljbe92oq"/>
    <w:basedOn w:val="DefaultParagraphFont"/>
    <w:rsid w:val="00480D84"/>
  </w:style>
  <w:style w:type="paragraph" w:styleId="HTMLPreformatted">
    <w:name w:val="HTML Preformatted"/>
    <w:basedOn w:val="Normal"/>
    <w:link w:val="HTMLPreformattedChar"/>
    <w:uiPriority w:val="99"/>
    <w:unhideWhenUsed/>
    <w:rsid w:val="00D4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41803"/>
    <w:rPr>
      <w:rFonts w:ascii="Courier New" w:eastAsia="Times New Roman" w:hAnsi="Courier New" w:cs="Courier New"/>
      <w:sz w:val="20"/>
      <w:szCs w:val="20"/>
      <w:lang w:eastAsia="en-GB"/>
    </w:rPr>
  </w:style>
  <w:style w:type="character" w:customStyle="1" w:styleId="Heading4Char">
    <w:name w:val="Heading 4 Char"/>
    <w:basedOn w:val="DefaultParagraphFont"/>
    <w:link w:val="Heading4"/>
    <w:uiPriority w:val="9"/>
    <w:semiHidden/>
    <w:rsid w:val="00EE2707"/>
    <w:rPr>
      <w:rFonts w:asciiTheme="majorHAnsi" w:eastAsiaTheme="majorEastAsia" w:hAnsiTheme="majorHAnsi" w:cstheme="majorBidi"/>
      <w:i/>
      <w:iCs/>
      <w:color w:val="365F91" w:themeColor="accent1" w:themeShade="BF"/>
      <w:sz w:val="20"/>
      <w:szCs w:val="20"/>
      <w:lang w:eastAsia="en-GB"/>
    </w:rPr>
  </w:style>
  <w:style w:type="character" w:customStyle="1" w:styleId="Date1">
    <w:name w:val="Date1"/>
    <w:basedOn w:val="DefaultParagraphFont"/>
    <w:rsid w:val="00EE2707"/>
  </w:style>
  <w:style w:type="character" w:customStyle="1" w:styleId="journal">
    <w:name w:val="journal"/>
    <w:basedOn w:val="DefaultParagraphFont"/>
    <w:rsid w:val="00EE2707"/>
  </w:style>
  <w:style w:type="character" w:customStyle="1" w:styleId="journalnumber">
    <w:name w:val="journalnumber"/>
    <w:basedOn w:val="DefaultParagraphFont"/>
    <w:rsid w:val="00EE2707"/>
  </w:style>
  <w:style w:type="character" w:customStyle="1" w:styleId="typefamily">
    <w:name w:val="type_family"/>
    <w:basedOn w:val="DefaultParagraphFont"/>
    <w:rsid w:val="00EE2707"/>
  </w:style>
  <w:style w:type="character" w:customStyle="1" w:styleId="typefamilysep">
    <w:name w:val="type_family_sep"/>
    <w:basedOn w:val="DefaultParagraphFont"/>
    <w:rsid w:val="00EE2707"/>
  </w:style>
  <w:style w:type="character" w:customStyle="1" w:styleId="typeclassificationparent">
    <w:name w:val="type_classification_parent"/>
    <w:basedOn w:val="DefaultParagraphFont"/>
    <w:rsid w:val="00EE2707"/>
  </w:style>
  <w:style w:type="character" w:customStyle="1" w:styleId="typeparentsep">
    <w:name w:val="type_parent_sep"/>
    <w:basedOn w:val="DefaultParagraphFont"/>
    <w:rsid w:val="00EE2707"/>
  </w:style>
  <w:style w:type="character" w:customStyle="1" w:styleId="typeclassification">
    <w:name w:val="type_classification"/>
    <w:basedOn w:val="DefaultParagraphFont"/>
    <w:rsid w:val="00EE2707"/>
  </w:style>
  <w:style w:type="character" w:styleId="UnresolvedMention">
    <w:name w:val="Unresolved Mention"/>
    <w:basedOn w:val="DefaultParagraphFont"/>
    <w:uiPriority w:val="99"/>
    <w:semiHidden/>
    <w:unhideWhenUsed/>
    <w:rsid w:val="00964F90"/>
    <w:rPr>
      <w:color w:val="605E5C"/>
      <w:shd w:val="clear" w:color="auto" w:fill="E1DFDD"/>
    </w:rPr>
  </w:style>
  <w:style w:type="character" w:styleId="FollowedHyperlink">
    <w:name w:val="FollowedHyperlink"/>
    <w:basedOn w:val="DefaultParagraphFont"/>
    <w:uiPriority w:val="99"/>
    <w:semiHidden/>
    <w:unhideWhenUsed/>
    <w:rsid w:val="00964F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0981">
      <w:bodyDiv w:val="1"/>
      <w:marLeft w:val="0"/>
      <w:marRight w:val="0"/>
      <w:marTop w:val="0"/>
      <w:marBottom w:val="0"/>
      <w:divBdr>
        <w:top w:val="none" w:sz="0" w:space="0" w:color="auto"/>
        <w:left w:val="none" w:sz="0" w:space="0" w:color="auto"/>
        <w:bottom w:val="none" w:sz="0" w:space="0" w:color="auto"/>
        <w:right w:val="none" w:sz="0" w:space="0" w:color="auto"/>
      </w:divBdr>
    </w:div>
    <w:div w:id="206797343">
      <w:bodyDiv w:val="1"/>
      <w:marLeft w:val="0"/>
      <w:marRight w:val="0"/>
      <w:marTop w:val="0"/>
      <w:marBottom w:val="0"/>
      <w:divBdr>
        <w:top w:val="none" w:sz="0" w:space="0" w:color="auto"/>
        <w:left w:val="none" w:sz="0" w:space="0" w:color="auto"/>
        <w:bottom w:val="none" w:sz="0" w:space="0" w:color="auto"/>
        <w:right w:val="none" w:sz="0" w:space="0" w:color="auto"/>
      </w:divBdr>
    </w:div>
    <w:div w:id="300234629">
      <w:bodyDiv w:val="1"/>
      <w:marLeft w:val="0"/>
      <w:marRight w:val="0"/>
      <w:marTop w:val="0"/>
      <w:marBottom w:val="0"/>
      <w:divBdr>
        <w:top w:val="none" w:sz="0" w:space="0" w:color="auto"/>
        <w:left w:val="none" w:sz="0" w:space="0" w:color="auto"/>
        <w:bottom w:val="none" w:sz="0" w:space="0" w:color="auto"/>
        <w:right w:val="none" w:sz="0" w:space="0" w:color="auto"/>
      </w:divBdr>
    </w:div>
    <w:div w:id="325481785">
      <w:bodyDiv w:val="1"/>
      <w:marLeft w:val="0"/>
      <w:marRight w:val="0"/>
      <w:marTop w:val="0"/>
      <w:marBottom w:val="0"/>
      <w:divBdr>
        <w:top w:val="none" w:sz="0" w:space="0" w:color="auto"/>
        <w:left w:val="none" w:sz="0" w:space="0" w:color="auto"/>
        <w:bottom w:val="none" w:sz="0" w:space="0" w:color="auto"/>
        <w:right w:val="none" w:sz="0" w:space="0" w:color="auto"/>
      </w:divBdr>
    </w:div>
    <w:div w:id="406540567">
      <w:bodyDiv w:val="1"/>
      <w:marLeft w:val="0"/>
      <w:marRight w:val="0"/>
      <w:marTop w:val="0"/>
      <w:marBottom w:val="0"/>
      <w:divBdr>
        <w:top w:val="none" w:sz="0" w:space="0" w:color="auto"/>
        <w:left w:val="none" w:sz="0" w:space="0" w:color="auto"/>
        <w:bottom w:val="none" w:sz="0" w:space="0" w:color="auto"/>
        <w:right w:val="none" w:sz="0" w:space="0" w:color="auto"/>
      </w:divBdr>
    </w:div>
    <w:div w:id="790823957">
      <w:bodyDiv w:val="1"/>
      <w:marLeft w:val="0"/>
      <w:marRight w:val="0"/>
      <w:marTop w:val="0"/>
      <w:marBottom w:val="0"/>
      <w:divBdr>
        <w:top w:val="none" w:sz="0" w:space="0" w:color="auto"/>
        <w:left w:val="none" w:sz="0" w:space="0" w:color="auto"/>
        <w:bottom w:val="none" w:sz="0" w:space="0" w:color="auto"/>
        <w:right w:val="none" w:sz="0" w:space="0" w:color="auto"/>
      </w:divBdr>
    </w:div>
    <w:div w:id="1130198841">
      <w:bodyDiv w:val="1"/>
      <w:marLeft w:val="0"/>
      <w:marRight w:val="0"/>
      <w:marTop w:val="0"/>
      <w:marBottom w:val="0"/>
      <w:divBdr>
        <w:top w:val="none" w:sz="0" w:space="0" w:color="auto"/>
        <w:left w:val="none" w:sz="0" w:space="0" w:color="auto"/>
        <w:bottom w:val="none" w:sz="0" w:space="0" w:color="auto"/>
        <w:right w:val="none" w:sz="0" w:space="0" w:color="auto"/>
      </w:divBdr>
    </w:div>
    <w:div w:id="1138379885">
      <w:bodyDiv w:val="1"/>
      <w:marLeft w:val="0"/>
      <w:marRight w:val="0"/>
      <w:marTop w:val="0"/>
      <w:marBottom w:val="0"/>
      <w:divBdr>
        <w:top w:val="none" w:sz="0" w:space="0" w:color="auto"/>
        <w:left w:val="none" w:sz="0" w:space="0" w:color="auto"/>
        <w:bottom w:val="none" w:sz="0" w:space="0" w:color="auto"/>
        <w:right w:val="none" w:sz="0" w:space="0" w:color="auto"/>
      </w:divBdr>
      <w:divsChild>
        <w:div w:id="1138910507">
          <w:marLeft w:val="0"/>
          <w:marRight w:val="0"/>
          <w:marTop w:val="0"/>
          <w:marBottom w:val="0"/>
          <w:divBdr>
            <w:top w:val="none" w:sz="0" w:space="0" w:color="auto"/>
            <w:left w:val="none" w:sz="0" w:space="0" w:color="auto"/>
            <w:bottom w:val="none" w:sz="0" w:space="0" w:color="auto"/>
            <w:right w:val="none" w:sz="0" w:space="0" w:color="auto"/>
          </w:divBdr>
          <w:divsChild>
            <w:div w:id="908999005">
              <w:marLeft w:val="0"/>
              <w:marRight w:val="0"/>
              <w:marTop w:val="0"/>
              <w:marBottom w:val="0"/>
              <w:divBdr>
                <w:top w:val="none" w:sz="0" w:space="0" w:color="auto"/>
                <w:left w:val="none" w:sz="0" w:space="0" w:color="auto"/>
                <w:bottom w:val="none" w:sz="0" w:space="0" w:color="auto"/>
                <w:right w:val="none" w:sz="0" w:space="0" w:color="auto"/>
              </w:divBdr>
              <w:divsChild>
                <w:div w:id="17158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22115">
      <w:bodyDiv w:val="1"/>
      <w:marLeft w:val="0"/>
      <w:marRight w:val="0"/>
      <w:marTop w:val="0"/>
      <w:marBottom w:val="0"/>
      <w:divBdr>
        <w:top w:val="none" w:sz="0" w:space="0" w:color="auto"/>
        <w:left w:val="none" w:sz="0" w:space="0" w:color="auto"/>
        <w:bottom w:val="none" w:sz="0" w:space="0" w:color="auto"/>
        <w:right w:val="none" w:sz="0" w:space="0" w:color="auto"/>
      </w:divBdr>
    </w:div>
    <w:div w:id="1294024520">
      <w:bodyDiv w:val="1"/>
      <w:marLeft w:val="0"/>
      <w:marRight w:val="0"/>
      <w:marTop w:val="0"/>
      <w:marBottom w:val="0"/>
      <w:divBdr>
        <w:top w:val="none" w:sz="0" w:space="0" w:color="auto"/>
        <w:left w:val="none" w:sz="0" w:space="0" w:color="auto"/>
        <w:bottom w:val="none" w:sz="0" w:space="0" w:color="auto"/>
        <w:right w:val="none" w:sz="0" w:space="0" w:color="auto"/>
      </w:divBdr>
    </w:div>
    <w:div w:id="1296136303">
      <w:bodyDiv w:val="1"/>
      <w:marLeft w:val="0"/>
      <w:marRight w:val="0"/>
      <w:marTop w:val="0"/>
      <w:marBottom w:val="0"/>
      <w:divBdr>
        <w:top w:val="none" w:sz="0" w:space="0" w:color="auto"/>
        <w:left w:val="none" w:sz="0" w:space="0" w:color="auto"/>
        <w:bottom w:val="none" w:sz="0" w:space="0" w:color="auto"/>
        <w:right w:val="none" w:sz="0" w:space="0" w:color="auto"/>
      </w:divBdr>
      <w:divsChild>
        <w:div w:id="1982005623">
          <w:marLeft w:val="0"/>
          <w:marRight w:val="0"/>
          <w:marTop w:val="0"/>
          <w:marBottom w:val="0"/>
          <w:divBdr>
            <w:top w:val="none" w:sz="0" w:space="0" w:color="auto"/>
            <w:left w:val="none" w:sz="0" w:space="0" w:color="auto"/>
            <w:bottom w:val="none" w:sz="0" w:space="0" w:color="auto"/>
            <w:right w:val="none" w:sz="0" w:space="0" w:color="auto"/>
          </w:divBdr>
          <w:divsChild>
            <w:div w:id="1675918394">
              <w:marLeft w:val="0"/>
              <w:marRight w:val="0"/>
              <w:marTop w:val="0"/>
              <w:marBottom w:val="0"/>
              <w:divBdr>
                <w:top w:val="none" w:sz="0" w:space="0" w:color="auto"/>
                <w:left w:val="none" w:sz="0" w:space="0" w:color="auto"/>
                <w:bottom w:val="none" w:sz="0" w:space="0" w:color="auto"/>
                <w:right w:val="none" w:sz="0" w:space="0" w:color="auto"/>
              </w:divBdr>
              <w:divsChild>
                <w:div w:id="363870361">
                  <w:marLeft w:val="0"/>
                  <w:marRight w:val="0"/>
                  <w:marTop w:val="0"/>
                  <w:marBottom w:val="0"/>
                  <w:divBdr>
                    <w:top w:val="none" w:sz="0" w:space="0" w:color="auto"/>
                    <w:left w:val="none" w:sz="0" w:space="0" w:color="auto"/>
                    <w:bottom w:val="none" w:sz="0" w:space="0" w:color="auto"/>
                    <w:right w:val="none" w:sz="0" w:space="0" w:color="auto"/>
                  </w:divBdr>
                  <w:divsChild>
                    <w:div w:id="11443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12008">
      <w:bodyDiv w:val="1"/>
      <w:marLeft w:val="0"/>
      <w:marRight w:val="0"/>
      <w:marTop w:val="0"/>
      <w:marBottom w:val="0"/>
      <w:divBdr>
        <w:top w:val="none" w:sz="0" w:space="0" w:color="auto"/>
        <w:left w:val="none" w:sz="0" w:space="0" w:color="auto"/>
        <w:bottom w:val="none" w:sz="0" w:space="0" w:color="auto"/>
        <w:right w:val="none" w:sz="0" w:space="0" w:color="auto"/>
      </w:divBdr>
    </w:div>
    <w:div w:id="1784036301">
      <w:bodyDiv w:val="1"/>
      <w:marLeft w:val="0"/>
      <w:marRight w:val="0"/>
      <w:marTop w:val="0"/>
      <w:marBottom w:val="0"/>
      <w:divBdr>
        <w:top w:val="none" w:sz="0" w:space="0" w:color="auto"/>
        <w:left w:val="none" w:sz="0" w:space="0" w:color="auto"/>
        <w:bottom w:val="none" w:sz="0" w:space="0" w:color="auto"/>
        <w:right w:val="none" w:sz="0" w:space="0" w:color="auto"/>
      </w:divBdr>
    </w:div>
    <w:div w:id="1805006585">
      <w:bodyDiv w:val="1"/>
      <w:marLeft w:val="0"/>
      <w:marRight w:val="0"/>
      <w:marTop w:val="0"/>
      <w:marBottom w:val="0"/>
      <w:divBdr>
        <w:top w:val="none" w:sz="0" w:space="0" w:color="auto"/>
        <w:left w:val="none" w:sz="0" w:space="0" w:color="auto"/>
        <w:bottom w:val="none" w:sz="0" w:space="0" w:color="auto"/>
        <w:right w:val="none" w:sz="0" w:space="0" w:color="auto"/>
      </w:divBdr>
    </w:div>
    <w:div w:id="2062366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law.com/ilaw/browse_newsletters.htm?name=Lloyd's%20Shipping%20&amp;%20Trade%20Law&amp;year=2025&amp;issueTitle=Vol%2025%20No%2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Gurses O</dc:creator>
  <cp:keywords/>
  <dc:description/>
  <cp:lastModifiedBy>Alina Hernandez</cp:lastModifiedBy>
  <cp:revision>2</cp:revision>
  <dcterms:created xsi:type="dcterms:W3CDTF">2025-12-11T15:08:00Z</dcterms:created>
  <dcterms:modified xsi:type="dcterms:W3CDTF">2025-12-11T15:08:00Z</dcterms:modified>
</cp:coreProperties>
</file>